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ind w:firstLine="720" w:firstLineChars="300"/>
        <w:jc w:val="center"/>
        <w:rPr>
          <w:rFonts w:ascii="黑体" w:hAnsi="黑体" w:eastAsia="黑体" w:cs="宋体"/>
          <w:color w:val="333333"/>
          <w:kern w:val="0"/>
          <w:sz w:val="24"/>
        </w:rPr>
      </w:pPr>
    </w:p>
    <w:p>
      <w:pPr>
        <w:widowControl/>
        <w:spacing w:before="100" w:beforeAutospacing="1" w:after="100" w:afterAutospacing="1"/>
        <w:jc w:val="center"/>
        <w:outlineLvl w:val="0"/>
        <w:rPr>
          <w:rFonts w:ascii="黑体" w:hAnsi="黑体" w:eastAsia="黑体" w:cs="宋体"/>
          <w:b/>
          <w:bCs/>
          <w:kern w:val="36"/>
          <w:sz w:val="72"/>
          <w:szCs w:val="72"/>
        </w:rPr>
      </w:pPr>
    </w:p>
    <w:p>
      <w:pPr>
        <w:widowControl/>
        <w:spacing w:before="100" w:beforeAutospacing="1" w:after="100" w:afterAutospacing="1"/>
        <w:jc w:val="center"/>
        <w:outlineLvl w:val="0"/>
        <w:rPr>
          <w:rFonts w:ascii="黑体" w:hAnsi="黑体" w:eastAsia="黑体" w:cs="宋体"/>
          <w:b/>
          <w:bCs/>
          <w:kern w:val="36"/>
          <w:sz w:val="72"/>
          <w:szCs w:val="72"/>
        </w:rPr>
      </w:pPr>
    </w:p>
    <w:p>
      <w:pPr>
        <w:widowControl/>
        <w:spacing w:before="100" w:beforeAutospacing="1" w:after="100" w:afterAutospacing="1"/>
        <w:jc w:val="center"/>
        <w:outlineLvl w:val="0"/>
        <w:rPr>
          <w:rFonts w:ascii="黑体" w:hAnsi="黑体" w:eastAsia="黑体" w:cs="宋体"/>
          <w:b/>
          <w:bCs/>
          <w:kern w:val="36"/>
          <w:sz w:val="72"/>
          <w:szCs w:val="72"/>
        </w:rPr>
      </w:pPr>
      <w:r>
        <w:rPr>
          <w:rFonts w:ascii="黑体" w:hAnsi="黑体" w:eastAsia="黑体" w:cs="宋体"/>
          <w:b/>
          <w:bCs/>
          <w:kern w:val="36"/>
          <w:sz w:val="72"/>
          <w:szCs w:val="72"/>
        </w:rPr>
        <w:t>华南农业大学</w:t>
      </w:r>
    </w:p>
    <w:p>
      <w:pPr>
        <w:widowControl/>
        <w:spacing w:before="100" w:beforeAutospacing="1" w:after="100" w:afterAutospacing="1"/>
        <w:jc w:val="center"/>
        <w:outlineLvl w:val="0"/>
        <w:rPr>
          <w:rFonts w:ascii="黑体" w:hAnsi="黑体" w:eastAsia="黑体" w:cs="宋体"/>
          <w:b/>
          <w:bCs/>
          <w:kern w:val="36"/>
          <w:sz w:val="72"/>
          <w:szCs w:val="72"/>
        </w:rPr>
      </w:pPr>
      <w:r>
        <w:rPr>
          <w:rFonts w:hint="eastAsia" w:ascii="黑体" w:hAnsi="黑体" w:eastAsia="黑体" w:cs="宋体"/>
          <w:b/>
          <w:bCs/>
          <w:kern w:val="36"/>
          <w:sz w:val="72"/>
          <w:szCs w:val="72"/>
        </w:rPr>
        <w:t>植物保护学院</w:t>
      </w:r>
    </w:p>
    <w:p>
      <w:pPr>
        <w:widowControl/>
        <w:spacing w:before="100" w:beforeAutospacing="1" w:after="100" w:afterAutospacing="1"/>
        <w:jc w:val="center"/>
        <w:outlineLvl w:val="0"/>
        <w:rPr>
          <w:rFonts w:ascii="黑体" w:hAnsi="黑体" w:eastAsia="黑体" w:cs="宋体"/>
          <w:b/>
          <w:bCs/>
          <w:kern w:val="36"/>
          <w:sz w:val="72"/>
          <w:szCs w:val="72"/>
        </w:rPr>
      </w:pPr>
      <w:r>
        <w:rPr>
          <w:rFonts w:ascii="黑体" w:hAnsi="黑体" w:eastAsia="黑体" w:cs="宋体"/>
          <w:b/>
          <w:bCs/>
          <w:kern w:val="36"/>
          <w:sz w:val="72"/>
          <w:szCs w:val="72"/>
        </w:rPr>
        <w:t>研究生奖学金评选办法</w:t>
      </w:r>
    </w:p>
    <w:p>
      <w:pPr>
        <w:widowControl/>
        <w:spacing w:before="100" w:beforeAutospacing="1" w:after="100" w:afterAutospacing="1"/>
        <w:jc w:val="center"/>
        <w:outlineLvl w:val="0"/>
        <w:rPr>
          <w:rFonts w:ascii="黑体" w:hAnsi="黑体" w:eastAsia="黑体" w:cs="宋体"/>
          <w:b/>
          <w:bCs/>
          <w:kern w:val="36"/>
          <w:sz w:val="44"/>
          <w:szCs w:val="44"/>
        </w:rPr>
      </w:pPr>
      <w:r>
        <w:rPr>
          <w:rFonts w:hint="eastAsia" w:ascii="黑体" w:hAnsi="黑体" w:eastAsia="黑体" w:cs="宋体"/>
          <w:b/>
          <w:bCs/>
          <w:kern w:val="36"/>
          <w:sz w:val="44"/>
          <w:szCs w:val="44"/>
        </w:rPr>
        <w:t>（修订稿）</w:t>
      </w:r>
    </w:p>
    <w:p>
      <w:pPr>
        <w:widowControl/>
        <w:spacing w:before="100" w:beforeAutospacing="1" w:after="100" w:afterAutospacing="1"/>
        <w:jc w:val="center"/>
        <w:outlineLvl w:val="0"/>
        <w:rPr>
          <w:rFonts w:ascii="黑体" w:hAnsi="黑体" w:eastAsia="黑体" w:cs="宋体"/>
          <w:b/>
          <w:bCs/>
          <w:kern w:val="36"/>
          <w:sz w:val="44"/>
          <w:szCs w:val="44"/>
        </w:rPr>
      </w:pPr>
    </w:p>
    <w:p>
      <w:pPr>
        <w:widowControl/>
        <w:spacing w:before="100" w:beforeAutospacing="1" w:after="100" w:afterAutospacing="1"/>
        <w:jc w:val="center"/>
        <w:outlineLvl w:val="0"/>
        <w:rPr>
          <w:rFonts w:ascii="黑体" w:hAnsi="黑体" w:eastAsia="黑体" w:cs="宋体"/>
          <w:b/>
          <w:bCs/>
          <w:kern w:val="36"/>
          <w:sz w:val="44"/>
          <w:szCs w:val="44"/>
        </w:rPr>
      </w:pPr>
      <w:r>
        <w:rPr>
          <w:rFonts w:hint="eastAsia" w:ascii="黑体" w:hAnsi="黑体" w:eastAsia="黑体" w:cs="宋体"/>
          <w:b/>
          <w:bCs/>
          <w:kern w:val="36"/>
          <w:sz w:val="44"/>
          <w:szCs w:val="44"/>
        </w:rPr>
        <w:t>2</w:t>
      </w:r>
      <w:r>
        <w:rPr>
          <w:rFonts w:ascii="黑体" w:hAnsi="黑体" w:eastAsia="黑体" w:cs="宋体"/>
          <w:b/>
          <w:bCs/>
          <w:kern w:val="36"/>
          <w:sz w:val="44"/>
          <w:szCs w:val="44"/>
        </w:rPr>
        <w:t>02</w:t>
      </w:r>
      <w:r>
        <w:rPr>
          <w:rFonts w:hint="eastAsia" w:ascii="黑体" w:hAnsi="黑体" w:eastAsia="黑体" w:cs="宋体"/>
          <w:b/>
          <w:bCs/>
          <w:kern w:val="36"/>
          <w:sz w:val="44"/>
          <w:szCs w:val="44"/>
          <w:lang w:val="en-US" w:eastAsia="zh-CN"/>
        </w:rPr>
        <w:t>4</w:t>
      </w:r>
      <w:r>
        <w:rPr>
          <w:rFonts w:hint="eastAsia" w:ascii="黑体" w:hAnsi="黑体" w:eastAsia="黑体" w:cs="宋体"/>
          <w:b/>
          <w:bCs/>
          <w:kern w:val="36"/>
          <w:sz w:val="44"/>
          <w:szCs w:val="44"/>
        </w:rPr>
        <w:t>年</w:t>
      </w:r>
      <w:r>
        <w:rPr>
          <w:rFonts w:hint="eastAsia" w:ascii="黑体" w:hAnsi="黑体" w:eastAsia="黑体" w:cs="宋体"/>
          <w:b/>
          <w:bCs/>
          <w:kern w:val="36"/>
          <w:sz w:val="44"/>
          <w:szCs w:val="44"/>
          <w:lang w:val="en-US" w:eastAsia="zh-CN"/>
        </w:rPr>
        <w:t>3</w:t>
      </w:r>
      <w:r>
        <w:rPr>
          <w:rFonts w:hint="eastAsia" w:ascii="黑体" w:hAnsi="黑体" w:eastAsia="黑体" w:cs="宋体"/>
          <w:b/>
          <w:bCs/>
          <w:kern w:val="36"/>
          <w:sz w:val="44"/>
          <w:szCs w:val="44"/>
        </w:rPr>
        <w:t>月</w:t>
      </w:r>
    </w:p>
    <w:p>
      <w:pPr>
        <w:widowControl/>
        <w:jc w:val="left"/>
        <w:rPr>
          <w:rFonts w:ascii="黑体" w:hAnsi="黑体" w:eastAsia="黑体" w:cs="宋体"/>
          <w:color w:val="333333"/>
          <w:kern w:val="0"/>
          <w:sz w:val="24"/>
        </w:rPr>
      </w:pPr>
      <w:r>
        <w:rPr>
          <w:rFonts w:ascii="黑体" w:hAnsi="黑体" w:eastAsia="黑体" w:cs="宋体"/>
          <w:color w:val="333333"/>
          <w:kern w:val="0"/>
          <w:sz w:val="24"/>
        </w:rPr>
        <w:br w:type="page"/>
      </w:r>
    </w:p>
    <w:p>
      <w:pPr>
        <w:widowControl/>
        <w:spacing w:line="300" w:lineRule="exact"/>
        <w:ind w:firstLine="720" w:firstLineChars="300"/>
        <w:jc w:val="center"/>
        <w:rPr>
          <w:rFonts w:ascii="黑体" w:hAnsi="黑体" w:eastAsia="黑体" w:cs="宋体"/>
          <w:color w:val="333333"/>
          <w:kern w:val="0"/>
          <w:sz w:val="24"/>
        </w:rPr>
      </w:pPr>
      <w:r>
        <w:rPr>
          <w:rFonts w:hint="eastAsia" w:ascii="黑体" w:hAnsi="黑体" w:eastAsia="黑体" w:cs="宋体"/>
          <w:color w:val="333333"/>
          <w:kern w:val="0"/>
          <w:sz w:val="24"/>
        </w:rPr>
        <w:t>目录</w:t>
      </w:r>
    </w:p>
    <w:p>
      <w:pPr>
        <w:widowControl/>
        <w:spacing w:line="300" w:lineRule="exact"/>
        <w:ind w:firstLine="720" w:firstLineChars="300"/>
        <w:jc w:val="center"/>
        <w:rPr>
          <w:rFonts w:ascii="黑体" w:hAnsi="黑体" w:eastAsia="黑体" w:cs="宋体"/>
          <w:color w:val="333333"/>
          <w:kern w:val="0"/>
          <w:sz w:val="24"/>
        </w:rPr>
      </w:pPr>
    </w:p>
    <w:p>
      <w:pPr>
        <w:widowControl/>
        <w:shd w:val="clear" w:color="auto" w:fill="FFFFFF"/>
        <w:spacing w:line="300" w:lineRule="exact"/>
        <w:jc w:val="left"/>
        <w:outlineLvl w:val="0"/>
        <w:rPr>
          <w:rFonts w:ascii="黑体" w:hAnsi="黑体" w:eastAsia="黑体" w:cs="宋体"/>
          <w:color w:val="333333"/>
          <w:kern w:val="0"/>
          <w:sz w:val="24"/>
        </w:rPr>
      </w:pPr>
      <w:r>
        <w:rPr>
          <w:rFonts w:hint="eastAsia" w:ascii="黑体" w:hAnsi="黑体" w:eastAsia="黑体" w:cs="宋体"/>
          <w:color w:val="333333"/>
          <w:kern w:val="0"/>
          <w:sz w:val="24"/>
        </w:rPr>
        <w:t>一、评选对象</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widowControl/>
        <w:shd w:val="clear" w:color="auto" w:fill="FFFFFF"/>
        <w:spacing w:line="300" w:lineRule="exact"/>
        <w:jc w:val="left"/>
        <w:outlineLvl w:val="0"/>
        <w:rPr>
          <w:rFonts w:ascii="黑体" w:hAnsi="黑体" w:eastAsia="黑体" w:cs="宋体"/>
          <w:color w:val="333333"/>
          <w:kern w:val="0"/>
          <w:sz w:val="24"/>
        </w:rPr>
      </w:pPr>
      <w:r>
        <w:rPr>
          <w:rFonts w:hint="eastAsia" w:ascii="黑体" w:hAnsi="黑体" w:eastAsia="黑体" w:cs="宋体"/>
          <w:color w:val="333333"/>
          <w:kern w:val="0"/>
          <w:sz w:val="24"/>
        </w:rPr>
        <w:t>二、评选时间</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widowControl/>
        <w:shd w:val="clear" w:color="auto" w:fill="FFFFFF"/>
        <w:spacing w:line="300" w:lineRule="exact"/>
        <w:jc w:val="left"/>
        <w:outlineLvl w:val="0"/>
        <w:rPr>
          <w:rFonts w:ascii="宋体" w:hAnsi="宋体" w:cs="宋体"/>
          <w:kern w:val="0"/>
          <w:sz w:val="24"/>
        </w:rPr>
      </w:pPr>
      <w:r>
        <w:rPr>
          <w:rFonts w:hint="eastAsia" w:ascii="黑体" w:hAnsi="黑体" w:eastAsia="黑体" w:cs="宋体"/>
          <w:color w:val="333333"/>
          <w:kern w:val="0"/>
          <w:sz w:val="24"/>
        </w:rPr>
        <w:t>三、奖学金标准与比例</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widowControl/>
        <w:shd w:val="clear" w:color="auto" w:fill="FFFFFF"/>
        <w:spacing w:line="300" w:lineRule="exact"/>
        <w:ind w:firstLine="567"/>
        <w:jc w:val="left"/>
        <w:outlineLvl w:val="1"/>
        <w:rPr>
          <w:rFonts w:ascii="宋体" w:hAnsi="宋体" w:cs="宋体"/>
          <w:kern w:val="0"/>
          <w:sz w:val="24"/>
        </w:rPr>
      </w:pPr>
      <w:r>
        <w:rPr>
          <w:rFonts w:ascii="Helvetica" w:hAnsi="Helvetica" w:cs="Helvetica"/>
          <w:b/>
          <w:bCs/>
          <w:color w:val="333333"/>
          <w:kern w:val="0"/>
          <w:sz w:val="24"/>
        </w:rPr>
        <w:t>（一）学业奖学金</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spacing w:line="300" w:lineRule="exact"/>
        <w:ind w:firstLine="720" w:firstLineChars="300"/>
        <w:jc w:val="left"/>
        <w:outlineLvl w:val="2"/>
      </w:pPr>
      <w:r>
        <w:rPr>
          <w:rFonts w:hint="eastAsia" w:ascii="仿宋" w:hAnsi="仿宋" w:eastAsia="仿宋" w:cs="宋体"/>
          <w:color w:val="333333"/>
          <w:kern w:val="0"/>
          <w:sz w:val="24"/>
        </w:rPr>
        <w:t>1.学业奖学金分为博士研究生学业奖学金和硕士研究生学业</w:t>
      </w:r>
      <w:r>
        <w:rPr>
          <w:rFonts w:ascii="仿宋" w:hAnsi="仿宋" w:eastAsia="仿宋" w:cs="宋体"/>
          <w:color w:val="333333"/>
          <w:kern w:val="0"/>
          <w:sz w:val="24"/>
        </w:rPr>
        <w:ptab w:relativeTo="margin" w:alignment="right" w:leader="dot"/>
      </w:r>
      <w:r>
        <w:rPr>
          <w:rFonts w:hint="eastAsia" w:ascii="黑体" w:hAnsi="黑体" w:eastAsia="黑体" w:cs="宋体"/>
          <w:color w:val="333333"/>
          <w:kern w:val="0"/>
          <w:sz w:val="24"/>
        </w:rPr>
        <w:t>1</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2.指标分配原则</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widowControl/>
        <w:shd w:val="clear" w:color="auto" w:fill="FFFFFF"/>
        <w:spacing w:line="300" w:lineRule="exact"/>
        <w:ind w:firstLine="720" w:firstLineChars="300"/>
        <w:jc w:val="left"/>
        <w:outlineLvl w:val="3"/>
        <w:rPr>
          <w:rFonts w:ascii="宋体" w:hAnsi="宋体" w:cs="宋体"/>
          <w:b/>
          <w:bCs/>
          <w:kern w:val="0"/>
          <w:sz w:val="24"/>
        </w:rPr>
      </w:pPr>
      <w:r>
        <w:rPr>
          <w:rFonts w:hint="eastAsia" w:ascii="仿宋" w:hAnsi="仿宋" w:eastAsia="仿宋" w:cs="宋体"/>
          <w:color w:val="333333"/>
          <w:kern w:val="0"/>
          <w:sz w:val="24"/>
        </w:rPr>
        <w:t>（1）研究生新生</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（2）研究生老生</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ascii="Helvetica" w:hAnsi="Helvetica" w:cs="Helvetica"/>
          <w:b/>
          <w:bCs/>
          <w:color w:val="333333"/>
          <w:kern w:val="0"/>
          <w:sz w:val="24"/>
        </w:rPr>
        <w:t>（二）国家奖学金</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2</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1.国家奖学金分为博士研究生国家奖学金和硕士研究生国家</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2</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2.指标分配原则</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2</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（1）研究生新生</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2</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（2）研究生老生</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2</w:t>
      </w:r>
    </w:p>
    <w:p>
      <w:pPr>
        <w:widowControl/>
        <w:shd w:val="clear" w:color="auto" w:fill="FFFFFF"/>
        <w:spacing w:line="300" w:lineRule="exact"/>
        <w:jc w:val="left"/>
        <w:outlineLvl w:val="0"/>
        <w:rPr>
          <w:rFonts w:hint="eastAsia" w:ascii="黑体" w:hAnsi="黑体" w:eastAsia="黑体" w:cs="宋体"/>
          <w:color w:val="333333"/>
          <w:kern w:val="0"/>
          <w:sz w:val="24"/>
          <w:lang w:eastAsia="zh-CN"/>
        </w:rPr>
      </w:pPr>
      <w:r>
        <w:rPr>
          <w:rFonts w:hint="eastAsia" w:ascii="黑体" w:hAnsi="黑体" w:eastAsia="黑体" w:cs="宋体"/>
          <w:color w:val="333333"/>
          <w:kern w:val="0"/>
          <w:sz w:val="24"/>
        </w:rPr>
        <w:t>四、评选基本条件</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lang w:val="en-US" w:eastAsia="zh-CN"/>
        </w:rPr>
        <w:t>2</w:t>
      </w:r>
    </w:p>
    <w:p>
      <w:pPr>
        <w:widowControl/>
        <w:shd w:val="clear" w:color="auto" w:fill="FFFFFF"/>
        <w:spacing w:line="300" w:lineRule="exact"/>
        <w:jc w:val="left"/>
        <w:outlineLvl w:val="0"/>
        <w:rPr>
          <w:rFonts w:hint="eastAsia" w:ascii="黑体" w:hAnsi="黑体" w:eastAsia="黑体" w:cs="宋体"/>
          <w:color w:val="333333"/>
          <w:kern w:val="0"/>
          <w:sz w:val="24"/>
          <w:lang w:eastAsia="zh-CN"/>
        </w:rPr>
      </w:pPr>
      <w:r>
        <w:rPr>
          <w:rFonts w:hint="eastAsia" w:ascii="黑体" w:hAnsi="黑体" w:eastAsia="黑体" w:cs="宋体"/>
          <w:color w:val="333333"/>
          <w:kern w:val="0"/>
          <w:sz w:val="24"/>
        </w:rPr>
        <w:t>五、评选项目及评分标准</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lang w:val="en-US" w:eastAsia="zh-CN"/>
        </w:rPr>
        <w:t>3</w:t>
      </w:r>
    </w:p>
    <w:p>
      <w:pPr>
        <w:widowControl/>
        <w:shd w:val="clear" w:color="auto" w:fill="FFFFFF"/>
        <w:spacing w:line="300" w:lineRule="exact"/>
        <w:ind w:firstLine="567"/>
        <w:jc w:val="left"/>
        <w:outlineLvl w:val="1"/>
        <w:rPr>
          <w:rFonts w:hint="eastAsia" w:ascii="Helvetica" w:hAnsi="Helvetica" w:eastAsia="黑体" w:cs="Helvetica"/>
          <w:b/>
          <w:bCs/>
          <w:color w:val="333333"/>
          <w:kern w:val="0"/>
          <w:sz w:val="24"/>
          <w:lang w:eastAsia="zh-CN"/>
        </w:rPr>
      </w:pPr>
      <w:r>
        <w:rPr>
          <w:rFonts w:hint="eastAsia" w:ascii="Helvetica" w:hAnsi="Helvetica" w:cs="Helvetica"/>
          <w:b/>
          <w:bCs/>
          <w:color w:val="333333"/>
          <w:kern w:val="0"/>
          <w:sz w:val="24"/>
        </w:rPr>
        <w:t>（一）新生学业奖学金评选</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lang w:val="en-US" w:eastAsia="zh-CN"/>
        </w:rPr>
        <w:t>3</w:t>
      </w:r>
    </w:p>
    <w:p>
      <w:pPr>
        <w:spacing w:line="300" w:lineRule="exact"/>
        <w:ind w:firstLine="720" w:firstLineChars="300"/>
        <w:jc w:val="left"/>
        <w:outlineLvl w:val="2"/>
        <w:rPr>
          <w:rFonts w:hint="eastAsia" w:ascii="仿宋" w:hAnsi="仿宋" w:eastAsia="黑体" w:cs="宋体"/>
          <w:color w:val="333333"/>
          <w:kern w:val="0"/>
          <w:sz w:val="24"/>
          <w:lang w:eastAsia="zh-CN"/>
        </w:rPr>
      </w:pPr>
      <w:r>
        <w:rPr>
          <w:rFonts w:hint="eastAsia" w:ascii="仿宋" w:hAnsi="仿宋" w:eastAsia="仿宋" w:cs="宋体"/>
          <w:color w:val="333333"/>
          <w:kern w:val="0"/>
          <w:sz w:val="24"/>
        </w:rPr>
        <w:t>1.硕士生新生</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lang w:val="en-US" w:eastAsia="zh-CN"/>
        </w:rPr>
        <w:t>3</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（1）优先条件</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3</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（2）评选办法</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3</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2.博士生新生</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4</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（1）优先条件</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4</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（2）评选办法</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4</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hint="eastAsia" w:ascii="Helvetica" w:hAnsi="Helvetica" w:cs="Helvetica"/>
          <w:b/>
          <w:bCs/>
          <w:color w:val="333333"/>
          <w:kern w:val="0"/>
          <w:sz w:val="24"/>
        </w:rPr>
        <w:t>（二）老生学业奖学金和国家奖学金评选</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5</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1.优先获奖的评选</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5</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（1）学业一等奖学金</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5</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（2）国家奖学金</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5</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2.常规获奖的评选</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6</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（1）评选办法</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6</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（2）具体评选项目</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6</w:t>
      </w:r>
    </w:p>
    <w:p>
      <w:pPr>
        <w:widowControl/>
        <w:shd w:val="clear" w:color="auto" w:fill="FFFFFF"/>
        <w:spacing w:line="300" w:lineRule="exact"/>
        <w:jc w:val="left"/>
        <w:outlineLvl w:val="0"/>
        <w:rPr>
          <w:rFonts w:hint="eastAsia" w:ascii="黑体" w:hAnsi="黑体" w:eastAsia="黑体" w:cs="宋体"/>
          <w:color w:val="333333"/>
          <w:kern w:val="0"/>
          <w:sz w:val="24"/>
          <w:lang w:eastAsia="zh-CN"/>
        </w:rPr>
      </w:pPr>
      <w:r>
        <w:rPr>
          <w:rFonts w:hint="eastAsia" w:ascii="黑体" w:hAnsi="黑体" w:eastAsia="黑体" w:cs="宋体"/>
          <w:color w:val="333333"/>
          <w:kern w:val="0"/>
          <w:sz w:val="24"/>
        </w:rPr>
        <w:t>六、评审组织与程序</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hint="eastAsia" w:ascii="黑体" w:hAnsi="黑体" w:eastAsia="黑体" w:cs="宋体"/>
          <w:color w:val="333333"/>
          <w:kern w:val="0"/>
          <w:sz w:val="24"/>
          <w:lang w:val="en-US" w:eastAsia="zh-CN"/>
        </w:rPr>
        <w:t>3</w:t>
      </w:r>
    </w:p>
    <w:p>
      <w:pPr>
        <w:widowControl/>
        <w:shd w:val="clear" w:color="auto" w:fill="FFFFFF"/>
        <w:spacing w:line="300" w:lineRule="exact"/>
        <w:ind w:firstLine="567"/>
        <w:jc w:val="left"/>
        <w:outlineLvl w:val="1"/>
        <w:rPr>
          <w:rFonts w:hint="eastAsia" w:ascii="Helvetica" w:hAnsi="Helvetica" w:eastAsia="黑体" w:cs="Helvetica"/>
          <w:b/>
          <w:bCs/>
          <w:color w:val="333333"/>
          <w:kern w:val="0"/>
          <w:sz w:val="24"/>
          <w:lang w:eastAsia="zh-CN"/>
        </w:rPr>
      </w:pPr>
      <w:r>
        <w:rPr>
          <w:rFonts w:hint="eastAsia" w:ascii="Helvetica" w:hAnsi="Helvetica" w:cs="Helvetica"/>
          <w:b/>
          <w:bCs/>
          <w:color w:val="333333"/>
          <w:kern w:val="0"/>
          <w:sz w:val="24"/>
        </w:rPr>
        <w:t>（一）成立学院研究生奖学金评审委员会</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hint="eastAsia" w:ascii="黑体" w:hAnsi="黑体" w:eastAsia="黑体" w:cs="宋体"/>
          <w:color w:val="333333"/>
          <w:kern w:val="0"/>
          <w:sz w:val="24"/>
          <w:lang w:val="en-US" w:eastAsia="zh-CN"/>
        </w:rPr>
        <w:t>3</w:t>
      </w:r>
    </w:p>
    <w:p>
      <w:pPr>
        <w:widowControl/>
        <w:shd w:val="clear" w:color="auto" w:fill="FFFFFF"/>
        <w:spacing w:line="300" w:lineRule="exact"/>
        <w:ind w:firstLine="567"/>
        <w:jc w:val="left"/>
        <w:outlineLvl w:val="1"/>
        <w:rPr>
          <w:rFonts w:hint="eastAsia" w:ascii="Helvetica" w:hAnsi="Helvetica" w:eastAsia="黑体" w:cs="Helvetica"/>
          <w:b/>
          <w:bCs/>
          <w:color w:val="333333"/>
          <w:kern w:val="0"/>
          <w:sz w:val="24"/>
          <w:lang w:eastAsia="zh-CN"/>
        </w:rPr>
      </w:pPr>
      <w:r>
        <w:rPr>
          <w:rFonts w:hint="eastAsia" w:ascii="Helvetica" w:hAnsi="Helvetica" w:cs="Helvetica"/>
          <w:b/>
          <w:bCs/>
          <w:color w:val="333333"/>
          <w:kern w:val="0"/>
          <w:sz w:val="24"/>
        </w:rPr>
        <w:t>（二）成立学院奖学金评比工作小组</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1</w:t>
      </w:r>
      <w:r>
        <w:rPr>
          <w:rFonts w:hint="eastAsia" w:ascii="黑体" w:hAnsi="黑体" w:eastAsia="黑体" w:cs="宋体"/>
          <w:color w:val="333333"/>
          <w:kern w:val="0"/>
          <w:sz w:val="24"/>
          <w:lang w:val="en-US" w:eastAsia="zh-CN"/>
        </w:rPr>
        <w:t>3</w:t>
      </w:r>
    </w:p>
    <w:p>
      <w:pPr>
        <w:widowControl/>
        <w:shd w:val="clear" w:color="auto" w:fill="FFFFFF"/>
        <w:spacing w:line="300" w:lineRule="exact"/>
        <w:ind w:firstLine="567"/>
        <w:jc w:val="left"/>
        <w:outlineLvl w:val="1"/>
        <w:rPr>
          <w:rFonts w:hint="eastAsia" w:ascii="Helvetica" w:hAnsi="Helvetica" w:eastAsia="黑体" w:cs="Helvetica"/>
          <w:b/>
          <w:bCs/>
          <w:color w:val="333333"/>
          <w:kern w:val="0"/>
          <w:sz w:val="24"/>
          <w:lang w:eastAsia="zh-CN"/>
        </w:rPr>
      </w:pPr>
      <w:r>
        <w:rPr>
          <w:rFonts w:hint="eastAsia" w:ascii="Helvetica" w:hAnsi="Helvetica" w:cs="Helvetica"/>
          <w:b/>
          <w:bCs/>
          <w:color w:val="333333"/>
          <w:kern w:val="0"/>
          <w:sz w:val="24"/>
        </w:rPr>
        <w:t>（三）成立班级奖学金评比工作小组</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1</w:t>
      </w:r>
      <w:r>
        <w:rPr>
          <w:rFonts w:hint="eastAsia" w:ascii="黑体" w:hAnsi="黑体" w:eastAsia="黑体" w:cs="宋体"/>
          <w:color w:val="333333"/>
          <w:kern w:val="0"/>
          <w:sz w:val="24"/>
          <w:lang w:val="en-US" w:eastAsia="zh-CN"/>
        </w:rPr>
        <w:t>3</w:t>
      </w:r>
    </w:p>
    <w:p>
      <w:pPr>
        <w:widowControl/>
        <w:shd w:val="clear" w:color="auto" w:fill="FFFFFF"/>
        <w:spacing w:line="300" w:lineRule="exact"/>
        <w:ind w:firstLine="567"/>
        <w:jc w:val="left"/>
        <w:outlineLvl w:val="1"/>
        <w:rPr>
          <w:rFonts w:hint="eastAsia" w:ascii="Helvetica" w:hAnsi="Helvetica" w:eastAsia="黑体" w:cs="Helvetica"/>
          <w:b/>
          <w:bCs/>
          <w:color w:val="333333"/>
          <w:kern w:val="0"/>
          <w:sz w:val="24"/>
          <w:lang w:eastAsia="zh-CN"/>
        </w:rPr>
      </w:pPr>
      <w:r>
        <w:rPr>
          <w:rFonts w:hint="eastAsia" w:ascii="Helvetica" w:hAnsi="Helvetica" w:cs="Helvetica"/>
          <w:b/>
          <w:bCs/>
          <w:color w:val="333333"/>
          <w:kern w:val="0"/>
          <w:sz w:val="24"/>
        </w:rPr>
        <w:t>（四）</w:t>
      </w:r>
      <w:r>
        <w:rPr>
          <w:rFonts w:hint="eastAsia" w:ascii="Helvetica" w:hAnsi="Helvetica" w:cs="Helvetica"/>
          <w:b/>
          <w:bCs/>
          <w:color w:val="333333"/>
          <w:kern w:val="0"/>
          <w:sz w:val="24"/>
          <w:lang w:val="en-US" w:eastAsia="zh-CN"/>
        </w:rPr>
        <w:t>学生申请</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1</w:t>
      </w:r>
      <w:r>
        <w:rPr>
          <w:rFonts w:hint="eastAsia" w:ascii="黑体" w:hAnsi="黑体" w:eastAsia="黑体" w:cs="宋体"/>
          <w:color w:val="333333"/>
          <w:kern w:val="0"/>
          <w:sz w:val="24"/>
          <w:lang w:val="en-US" w:eastAsia="zh-CN"/>
        </w:rPr>
        <w:t>3</w:t>
      </w:r>
    </w:p>
    <w:p>
      <w:pPr>
        <w:widowControl/>
        <w:shd w:val="clear" w:color="auto" w:fill="FFFFFF"/>
        <w:spacing w:line="300" w:lineRule="exact"/>
        <w:ind w:firstLine="567"/>
        <w:jc w:val="left"/>
        <w:outlineLvl w:val="1"/>
        <w:rPr>
          <w:rFonts w:hint="eastAsia" w:ascii="Helvetica" w:hAnsi="Helvetica" w:eastAsia="黑体" w:cs="Helvetica"/>
          <w:b/>
          <w:bCs/>
          <w:color w:val="333333"/>
          <w:kern w:val="0"/>
          <w:sz w:val="24"/>
          <w:lang w:eastAsia="zh-CN"/>
        </w:rPr>
      </w:pPr>
      <w:r>
        <w:rPr>
          <w:rFonts w:hint="eastAsia" w:ascii="Helvetica" w:hAnsi="Helvetica" w:cs="Helvetica"/>
          <w:b/>
          <w:bCs/>
          <w:color w:val="333333"/>
          <w:kern w:val="0"/>
          <w:sz w:val="24"/>
        </w:rPr>
        <w:t>（五）班级审核材料</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1</w:t>
      </w:r>
      <w:r>
        <w:rPr>
          <w:rFonts w:hint="eastAsia" w:ascii="黑体" w:hAnsi="黑体" w:eastAsia="黑体" w:cs="宋体"/>
          <w:color w:val="333333"/>
          <w:kern w:val="0"/>
          <w:sz w:val="24"/>
          <w:lang w:val="en-US" w:eastAsia="zh-CN"/>
        </w:rPr>
        <w:t>3</w:t>
      </w:r>
    </w:p>
    <w:p>
      <w:pPr>
        <w:spacing w:line="300" w:lineRule="exact"/>
        <w:ind w:firstLine="720" w:firstLineChars="300"/>
        <w:jc w:val="left"/>
        <w:outlineLvl w:val="2"/>
        <w:rPr>
          <w:rFonts w:hint="eastAsia" w:ascii="仿宋" w:hAnsi="仿宋" w:eastAsia="黑体" w:cs="宋体"/>
          <w:color w:val="333333"/>
          <w:kern w:val="0"/>
          <w:sz w:val="24"/>
          <w:lang w:eastAsia="zh-CN"/>
        </w:rPr>
      </w:pPr>
      <w:r>
        <w:rPr>
          <w:rFonts w:hint="eastAsia" w:ascii="仿宋" w:hAnsi="仿宋" w:eastAsia="仿宋" w:cs="宋体"/>
          <w:color w:val="333333"/>
          <w:kern w:val="0"/>
          <w:sz w:val="24"/>
        </w:rPr>
        <w:t>1.班级审核材料及公示</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hint="eastAsia" w:ascii="黑体" w:hAnsi="黑体" w:eastAsia="黑体" w:cs="宋体"/>
          <w:color w:val="333333"/>
          <w:kern w:val="0"/>
          <w:sz w:val="24"/>
          <w:lang w:val="en-US" w:eastAsia="zh-CN"/>
        </w:rPr>
        <w:t>3</w:t>
      </w:r>
    </w:p>
    <w:p>
      <w:pPr>
        <w:spacing w:line="300" w:lineRule="exact"/>
        <w:ind w:firstLine="720" w:firstLineChars="300"/>
        <w:jc w:val="left"/>
        <w:outlineLvl w:val="2"/>
        <w:rPr>
          <w:rFonts w:hint="eastAsia" w:ascii="仿宋" w:hAnsi="仿宋" w:eastAsia="黑体" w:cs="宋体"/>
          <w:color w:val="333333"/>
          <w:kern w:val="0"/>
          <w:sz w:val="24"/>
          <w:lang w:eastAsia="zh-CN"/>
        </w:rPr>
      </w:pPr>
      <w:r>
        <w:rPr>
          <w:rFonts w:hint="eastAsia" w:ascii="仿宋" w:hAnsi="仿宋" w:eastAsia="仿宋" w:cs="宋体"/>
          <w:color w:val="333333"/>
          <w:kern w:val="0"/>
          <w:sz w:val="24"/>
        </w:rPr>
        <w:t>2.班级上交材料</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hint="eastAsia" w:ascii="黑体" w:hAnsi="黑体" w:eastAsia="黑体" w:cs="宋体"/>
          <w:color w:val="333333"/>
          <w:kern w:val="0"/>
          <w:sz w:val="24"/>
          <w:lang w:val="en-US" w:eastAsia="zh-CN"/>
        </w:rPr>
        <w:t>3</w:t>
      </w:r>
    </w:p>
    <w:p>
      <w:pPr>
        <w:widowControl/>
        <w:shd w:val="clear" w:color="auto" w:fill="FFFFFF"/>
        <w:spacing w:line="300" w:lineRule="exact"/>
        <w:ind w:firstLine="567"/>
        <w:jc w:val="left"/>
        <w:outlineLvl w:val="1"/>
        <w:rPr>
          <w:rFonts w:hint="eastAsia" w:ascii="Helvetica" w:hAnsi="Helvetica" w:eastAsia="黑体" w:cs="Helvetica"/>
          <w:b/>
          <w:bCs/>
          <w:color w:val="333333"/>
          <w:kern w:val="0"/>
          <w:sz w:val="24"/>
          <w:lang w:eastAsia="zh-CN"/>
        </w:rPr>
      </w:pPr>
      <w:r>
        <w:rPr>
          <w:rFonts w:hint="eastAsia" w:ascii="Helvetica" w:hAnsi="Helvetica" w:cs="Helvetica"/>
          <w:b/>
          <w:bCs/>
          <w:color w:val="333333"/>
          <w:kern w:val="0"/>
          <w:sz w:val="24"/>
        </w:rPr>
        <w:t>（七）确定奖学金获奖名单</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hint="eastAsia" w:ascii="黑体" w:hAnsi="黑体" w:eastAsia="黑体" w:cs="宋体"/>
          <w:color w:val="333333"/>
          <w:kern w:val="0"/>
          <w:sz w:val="24"/>
          <w:lang w:val="en-US" w:eastAsia="zh-CN"/>
        </w:rPr>
        <w:t>3</w:t>
      </w:r>
    </w:p>
    <w:p>
      <w:pPr>
        <w:widowControl/>
        <w:shd w:val="clear" w:color="auto" w:fill="FFFFFF"/>
        <w:spacing w:line="300" w:lineRule="exact"/>
        <w:jc w:val="left"/>
        <w:outlineLvl w:val="0"/>
        <w:rPr>
          <w:rFonts w:hint="eastAsia" w:ascii="黑体" w:hAnsi="黑体" w:eastAsia="黑体" w:cs="宋体"/>
          <w:color w:val="333333"/>
          <w:kern w:val="0"/>
          <w:sz w:val="24"/>
          <w:lang w:eastAsia="zh-CN"/>
        </w:rPr>
      </w:pPr>
      <w:r>
        <w:rPr>
          <w:rFonts w:hint="eastAsia" w:ascii="黑体" w:hAnsi="黑体" w:eastAsia="黑体" w:cs="宋体"/>
          <w:color w:val="333333"/>
          <w:kern w:val="0"/>
          <w:sz w:val="24"/>
        </w:rPr>
        <w:t>七、纪律要求</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hint="eastAsia" w:ascii="黑体" w:hAnsi="黑体" w:eastAsia="黑体" w:cs="宋体"/>
          <w:color w:val="333333"/>
          <w:kern w:val="0"/>
          <w:sz w:val="24"/>
          <w:lang w:val="en-US" w:eastAsia="zh-CN"/>
        </w:rPr>
        <w:t>4</w:t>
      </w:r>
    </w:p>
    <w:p>
      <w:pPr>
        <w:widowControl/>
        <w:shd w:val="clear" w:color="auto" w:fill="FFFFFF"/>
        <w:spacing w:line="300" w:lineRule="exact"/>
        <w:ind w:firstLine="567"/>
        <w:jc w:val="left"/>
        <w:outlineLvl w:val="1"/>
        <w:rPr>
          <w:rFonts w:hint="default" w:ascii="Helvetica" w:hAnsi="Helvetica" w:eastAsia="黑体" w:cs="Helvetica"/>
          <w:b/>
          <w:bCs/>
          <w:color w:val="333333"/>
          <w:kern w:val="0"/>
          <w:sz w:val="24"/>
          <w:lang w:val="en-US" w:eastAsia="zh-CN"/>
        </w:rPr>
      </w:pPr>
      <w:r>
        <w:rPr>
          <w:rFonts w:hint="eastAsia" w:ascii="Helvetica" w:hAnsi="Helvetica" w:cs="Helvetica"/>
          <w:b/>
          <w:bCs/>
          <w:color w:val="333333"/>
          <w:kern w:val="0"/>
          <w:sz w:val="24"/>
        </w:rPr>
        <w:t>1.奖学金申请者的纪律要求</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lang w:val="en-US" w:eastAsia="zh-CN"/>
        </w:rPr>
        <w:t>14</w:t>
      </w:r>
    </w:p>
    <w:p>
      <w:pPr>
        <w:widowControl/>
        <w:shd w:val="clear" w:color="auto" w:fill="FFFFFF"/>
        <w:spacing w:line="300" w:lineRule="exact"/>
        <w:ind w:firstLine="567"/>
        <w:jc w:val="left"/>
        <w:outlineLvl w:val="1"/>
        <w:rPr>
          <w:rFonts w:hint="eastAsia" w:ascii="Helvetica" w:hAnsi="Helvetica" w:eastAsia="黑体" w:cs="Helvetica"/>
          <w:b/>
          <w:bCs/>
          <w:color w:val="333333"/>
          <w:kern w:val="0"/>
          <w:sz w:val="24"/>
          <w:lang w:eastAsia="zh-CN"/>
        </w:rPr>
      </w:pPr>
      <w:r>
        <w:rPr>
          <w:rFonts w:hint="eastAsia" w:ascii="Helvetica" w:hAnsi="Helvetica" w:cs="Helvetica"/>
          <w:b/>
          <w:bCs/>
          <w:color w:val="333333"/>
          <w:kern w:val="0"/>
          <w:sz w:val="24"/>
        </w:rPr>
        <w:t>2.学院和班级评比工作小组成员的纪律要求</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hint="eastAsia" w:ascii="黑体" w:hAnsi="黑体" w:eastAsia="黑体" w:cs="宋体"/>
          <w:color w:val="333333"/>
          <w:kern w:val="0"/>
          <w:sz w:val="24"/>
          <w:lang w:val="en-US" w:eastAsia="zh-CN"/>
        </w:rPr>
        <w:t>4</w:t>
      </w:r>
    </w:p>
    <w:p>
      <w:pPr>
        <w:widowControl/>
        <w:shd w:val="clear" w:color="auto" w:fill="FFFFFF"/>
        <w:spacing w:line="300" w:lineRule="exact"/>
        <w:jc w:val="left"/>
        <w:outlineLvl w:val="0"/>
        <w:rPr>
          <w:rFonts w:hint="eastAsia" w:ascii="黑体" w:hAnsi="黑体" w:eastAsia="黑体" w:cs="宋体"/>
          <w:color w:val="333333"/>
          <w:kern w:val="0"/>
          <w:sz w:val="24"/>
          <w:lang w:eastAsia="zh-CN"/>
        </w:rPr>
      </w:pPr>
      <w:r>
        <w:rPr>
          <w:rFonts w:hint="eastAsia" w:ascii="黑体" w:hAnsi="黑体" w:eastAsia="黑体" w:cs="宋体"/>
          <w:color w:val="333333"/>
          <w:kern w:val="0"/>
          <w:sz w:val="24"/>
        </w:rPr>
        <w:t>八、其他说明</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hint="eastAsia" w:ascii="黑体" w:hAnsi="黑体" w:eastAsia="黑体" w:cs="宋体"/>
          <w:color w:val="333333"/>
          <w:kern w:val="0"/>
          <w:sz w:val="24"/>
          <w:lang w:val="en-US" w:eastAsia="zh-CN"/>
        </w:rPr>
        <w:t>4</w:t>
      </w:r>
    </w:p>
    <w:p>
      <w:pPr>
        <w:widowControl/>
        <w:shd w:val="clear" w:color="auto" w:fill="FFFFFF"/>
        <w:spacing w:line="300" w:lineRule="exact"/>
        <w:jc w:val="left"/>
        <w:outlineLvl w:val="0"/>
        <w:rPr>
          <w:rFonts w:ascii="黑体" w:hAnsi="黑体" w:eastAsia="黑体" w:cs="宋体"/>
          <w:color w:val="333333"/>
          <w:kern w:val="0"/>
          <w:sz w:val="24"/>
        </w:rPr>
        <w:sectPr>
          <w:headerReference r:id="rId3" w:type="default"/>
          <w:footerReference r:id="rId5"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p>
    <w:p>
      <w:pPr>
        <w:widowControl/>
        <w:spacing w:before="100" w:beforeAutospacing="1" w:after="100" w:afterAutospacing="1"/>
        <w:jc w:val="center"/>
        <w:outlineLvl w:val="0"/>
        <w:rPr>
          <w:rFonts w:hint="eastAsia" w:ascii="宋体" w:hAnsi="宋体" w:cs="宋体"/>
          <w:b/>
          <w:bCs/>
          <w:kern w:val="36"/>
          <w:sz w:val="48"/>
          <w:szCs w:val="48"/>
        </w:rPr>
      </w:pPr>
      <w:r>
        <w:rPr>
          <w:rFonts w:ascii="宋体" w:hAnsi="宋体" w:cs="宋体"/>
          <w:b/>
          <w:bCs/>
          <w:kern w:val="36"/>
          <w:sz w:val="48"/>
          <w:szCs w:val="48"/>
        </w:rPr>
        <w:t>华南农业大学</w:t>
      </w:r>
      <w:r>
        <w:rPr>
          <w:rFonts w:hint="eastAsia" w:ascii="宋体" w:hAnsi="宋体" w:cs="宋体"/>
          <w:b/>
          <w:bCs/>
          <w:kern w:val="36"/>
          <w:sz w:val="48"/>
          <w:szCs w:val="48"/>
        </w:rPr>
        <w:t>植物保护学院</w:t>
      </w:r>
    </w:p>
    <w:p>
      <w:pPr>
        <w:widowControl/>
        <w:spacing w:before="100" w:beforeAutospacing="1" w:after="100" w:afterAutospacing="1"/>
        <w:jc w:val="center"/>
        <w:outlineLvl w:val="0"/>
        <w:rPr>
          <w:rFonts w:ascii="宋体" w:hAnsi="宋体" w:cs="宋体"/>
          <w:b/>
          <w:bCs/>
          <w:kern w:val="36"/>
          <w:sz w:val="48"/>
          <w:szCs w:val="48"/>
        </w:rPr>
      </w:pPr>
      <w:r>
        <w:rPr>
          <w:rFonts w:ascii="宋体" w:hAnsi="宋体" w:cs="宋体"/>
          <w:b/>
          <w:bCs/>
          <w:kern w:val="36"/>
          <w:sz w:val="48"/>
          <w:szCs w:val="48"/>
        </w:rPr>
        <w:t>研究生奖学金评选办法</w:t>
      </w:r>
    </w:p>
    <w:p>
      <w:pPr>
        <w:widowControl/>
        <w:shd w:val="clear" w:color="auto" w:fill="FFFFFF"/>
        <w:spacing w:line="390" w:lineRule="atLeast"/>
        <w:ind w:left="720" w:right="720"/>
        <w:jc w:val="center"/>
        <w:rPr>
          <w:rFonts w:ascii="宋体" w:hAnsi="宋体" w:cs="宋体"/>
          <w:kern w:val="0"/>
          <w:sz w:val="24"/>
        </w:rPr>
      </w:pPr>
    </w:p>
    <w:p>
      <w:pPr>
        <w:widowControl/>
        <w:shd w:val="clear" w:color="auto" w:fill="FFFFFF"/>
        <w:spacing w:line="360" w:lineRule="atLeast"/>
        <w:ind w:right="720" w:firstLine="480" w:firstLineChars="200"/>
        <w:jc w:val="left"/>
        <w:rPr>
          <w:rFonts w:ascii="宋体" w:hAnsi="宋体" w:cs="宋体"/>
          <w:kern w:val="0"/>
          <w:sz w:val="24"/>
        </w:rPr>
      </w:pPr>
      <w:r>
        <w:rPr>
          <w:rFonts w:hint="eastAsia" w:ascii="仿宋" w:hAnsi="仿宋" w:eastAsia="仿宋" w:cs="宋体"/>
          <w:color w:val="333333"/>
          <w:kern w:val="0"/>
          <w:sz w:val="24"/>
        </w:rPr>
        <w:t>在全面实行研究生教育收费制度的背景下，为吸引优秀生源，鼓励在校研究生勤奋学习、潜心科研、勇于创新、积极进取，根据《华南农业大学研究生国家奖助学金实施办法》（华农党发〔2021〕35号），结合植物保护学院实际，特制定本办法。</w:t>
      </w:r>
    </w:p>
    <w:p>
      <w:pPr>
        <w:widowControl/>
        <w:shd w:val="clear" w:color="auto" w:fill="FFFFFF"/>
        <w:spacing w:line="360" w:lineRule="atLeast"/>
        <w:ind w:left="720" w:right="720"/>
        <w:jc w:val="left"/>
        <w:rPr>
          <w:rFonts w:ascii="黑体" w:hAnsi="黑体" w:eastAsia="黑体" w:cs="宋体"/>
          <w:color w:val="333333"/>
          <w:kern w:val="0"/>
          <w:sz w:val="24"/>
        </w:rPr>
      </w:pPr>
    </w:p>
    <w:p>
      <w:pPr>
        <w:widowControl/>
        <w:jc w:val="left"/>
        <w:rPr>
          <w:rFonts w:ascii="黑体" w:hAnsi="黑体" w:eastAsia="黑体" w:cs="宋体"/>
          <w:color w:val="333333"/>
          <w:kern w:val="0"/>
          <w:sz w:val="24"/>
        </w:rPr>
      </w:pPr>
      <w:r>
        <w:rPr>
          <w:rFonts w:hint="eastAsia" w:ascii="黑体" w:hAnsi="黑体" w:eastAsia="黑体" w:cs="宋体"/>
          <w:color w:val="333333"/>
          <w:kern w:val="0"/>
          <w:sz w:val="24"/>
        </w:rPr>
        <w:t>一、评选对象</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植物保护学院已注册的正常学制内的全日制研究生（外国留学生、港澳台学生除外）均有资格申请学业奖学金。已注册的非定向学术型研究生、非定向全日制专业学位研究生均有资格申请国家奖学金。超出学制期限基本修业年限的研究生（即延期毕业的研究生），原则上不再具备学业奖学金和国家奖学金参评资格。</w:t>
      </w:r>
    </w:p>
    <w:p>
      <w:pPr>
        <w:widowControl/>
        <w:shd w:val="clear" w:color="auto" w:fill="FFFFFF"/>
        <w:spacing w:line="360" w:lineRule="atLeast"/>
        <w:ind w:left="720" w:right="720" w:firstLine="480" w:firstLineChars="200"/>
        <w:jc w:val="left"/>
        <w:rPr>
          <w:rFonts w:ascii="仿宋" w:hAnsi="仿宋" w:eastAsia="仿宋" w:cs="宋体"/>
          <w:color w:val="333333"/>
          <w:kern w:val="0"/>
          <w:sz w:val="24"/>
        </w:rPr>
      </w:pPr>
    </w:p>
    <w:p>
      <w:pPr>
        <w:widowControl/>
        <w:shd w:val="clear" w:color="auto" w:fill="FFFFFF"/>
        <w:spacing w:line="360" w:lineRule="atLeast"/>
        <w:ind w:right="720"/>
        <w:jc w:val="left"/>
        <w:rPr>
          <w:rFonts w:ascii="宋体" w:hAnsi="宋体" w:cs="宋体"/>
          <w:kern w:val="0"/>
          <w:sz w:val="24"/>
        </w:rPr>
      </w:pPr>
      <w:r>
        <w:rPr>
          <w:rFonts w:hint="eastAsia" w:ascii="黑体" w:hAnsi="黑体" w:eastAsia="黑体" w:cs="宋体"/>
          <w:color w:val="333333"/>
          <w:kern w:val="0"/>
          <w:sz w:val="24"/>
        </w:rPr>
        <w:t>二、评选时间</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每学年评审一次，安排在每年9月份。</w:t>
      </w:r>
    </w:p>
    <w:p>
      <w:pPr>
        <w:widowControl/>
        <w:shd w:val="clear" w:color="auto" w:fill="FFFFFF"/>
        <w:spacing w:line="360" w:lineRule="atLeast"/>
        <w:ind w:left="720" w:right="720" w:firstLine="480" w:firstLineChars="200"/>
        <w:jc w:val="left"/>
        <w:rPr>
          <w:rFonts w:ascii="仿宋" w:hAnsi="仿宋" w:eastAsia="仿宋" w:cs="宋体"/>
          <w:color w:val="333333"/>
          <w:kern w:val="0"/>
          <w:sz w:val="24"/>
        </w:rPr>
      </w:pPr>
    </w:p>
    <w:p>
      <w:pPr>
        <w:widowControl/>
        <w:shd w:val="clear" w:color="auto" w:fill="FFFFFF"/>
        <w:spacing w:line="360" w:lineRule="atLeast"/>
        <w:ind w:right="720"/>
        <w:jc w:val="left"/>
        <w:rPr>
          <w:rFonts w:ascii="宋体" w:hAnsi="宋体" w:cs="宋体"/>
          <w:kern w:val="0"/>
          <w:sz w:val="24"/>
        </w:rPr>
      </w:pPr>
      <w:r>
        <w:rPr>
          <w:rFonts w:hint="eastAsia" w:ascii="黑体" w:hAnsi="黑体" w:eastAsia="黑体" w:cs="宋体"/>
          <w:color w:val="333333"/>
          <w:kern w:val="0"/>
          <w:sz w:val="24"/>
        </w:rPr>
        <w:t>三、奖学金标准与比例</w:t>
      </w:r>
    </w:p>
    <w:p>
      <w:pPr>
        <w:widowControl/>
        <w:shd w:val="clear" w:color="auto" w:fill="FFFFFF"/>
        <w:spacing w:line="360" w:lineRule="atLeast"/>
        <w:ind w:right="720" w:firstLine="482" w:firstLineChars="200"/>
        <w:jc w:val="left"/>
        <w:rPr>
          <w:rFonts w:ascii="仿宋" w:hAnsi="仿宋" w:eastAsia="仿宋" w:cs="宋体"/>
          <w:b/>
          <w:bCs/>
          <w:color w:val="333333"/>
          <w:kern w:val="0"/>
          <w:sz w:val="24"/>
        </w:rPr>
      </w:pPr>
      <w:r>
        <w:rPr>
          <w:rFonts w:ascii="仿宋" w:hAnsi="仿宋" w:eastAsia="仿宋" w:cs="宋体"/>
          <w:b/>
          <w:bCs/>
          <w:color w:val="333333"/>
          <w:kern w:val="0"/>
          <w:sz w:val="24"/>
        </w:rPr>
        <w:t>（一）学业奖学金</w:t>
      </w:r>
    </w:p>
    <w:p>
      <w:pPr>
        <w:widowControl/>
        <w:shd w:val="clear" w:color="auto" w:fill="FFFFFF"/>
        <w:spacing w:line="360" w:lineRule="atLeast"/>
        <w:ind w:right="720" w:firstLine="480" w:firstLineChars="200"/>
        <w:jc w:val="left"/>
        <w:rPr>
          <w:rFonts w:ascii="仿宋" w:hAnsi="仿宋" w:eastAsia="仿宋" w:cs="宋体"/>
          <w:color w:val="333333"/>
          <w:kern w:val="0"/>
          <w:sz w:val="24"/>
          <w:u w:val="single"/>
        </w:rPr>
      </w:pPr>
      <w:r>
        <w:rPr>
          <w:rFonts w:hint="eastAsia" w:ascii="仿宋" w:hAnsi="仿宋" w:eastAsia="仿宋" w:cs="宋体"/>
          <w:color w:val="333333"/>
          <w:kern w:val="0"/>
          <w:sz w:val="24"/>
        </w:rPr>
        <w:t>1.学业奖学金分为博士研究生学业奖学金和硕士研究生学业奖学金。非定向研究生享受荣誉和奖励，定向研究生仅获荣誉。学业奖学金等级、比例与奖励标准，以学校当年公布为准。在学校下达指标的基础上，非定向</w:t>
      </w:r>
      <w:r>
        <w:rPr>
          <w:rFonts w:hint="eastAsia" w:ascii="仿宋" w:hAnsi="仿宋" w:eastAsia="仿宋" w:cs="宋体"/>
          <w:color w:val="333333"/>
          <w:kern w:val="0"/>
          <w:sz w:val="24"/>
          <w:u w:val="single"/>
        </w:rPr>
        <w:t>研究生、定向研究生分开计算，博士生、硕士生分开计算，各年级分开计算</w:t>
      </w:r>
      <w:r>
        <w:rPr>
          <w:rFonts w:hint="eastAsia" w:ascii="仿宋" w:hAnsi="仿宋" w:eastAsia="仿宋" w:cs="宋体"/>
          <w:color w:val="333333"/>
          <w:kern w:val="0"/>
          <w:sz w:val="24"/>
          <w:u w:val="single"/>
          <w:lang w:eastAsia="zh-CN"/>
        </w:rPr>
        <w:t>。</w:t>
      </w:r>
      <w:r>
        <w:rPr>
          <w:rFonts w:hint="eastAsia" w:ascii="仿宋" w:hAnsi="仿宋" w:eastAsia="仿宋" w:cs="宋体"/>
          <w:color w:val="333333"/>
          <w:kern w:val="0"/>
          <w:sz w:val="24"/>
          <w:u w:val="single"/>
          <w:lang w:val="en-US" w:eastAsia="zh-CN"/>
        </w:rPr>
        <w:t>其中研究生老生，同一个年级</w:t>
      </w:r>
      <w:r>
        <w:rPr>
          <w:rFonts w:hint="eastAsia" w:ascii="仿宋" w:hAnsi="仿宋" w:eastAsia="仿宋" w:cs="宋体"/>
          <w:color w:val="333333"/>
          <w:kern w:val="0"/>
          <w:sz w:val="24"/>
          <w:u w:val="single"/>
        </w:rPr>
        <w:t>专硕研究生和学硕研究生统一计算</w:t>
      </w:r>
      <w:r>
        <w:rPr>
          <w:rFonts w:hint="eastAsia" w:ascii="仿宋" w:hAnsi="仿宋" w:eastAsia="仿宋" w:cs="宋体"/>
          <w:color w:val="333333"/>
          <w:kern w:val="0"/>
          <w:sz w:val="24"/>
          <w:u w:val="single"/>
          <w:lang w:eastAsia="zh-CN"/>
        </w:rPr>
        <w:t>；</w:t>
      </w:r>
      <w:r>
        <w:rPr>
          <w:rFonts w:hint="eastAsia" w:ascii="仿宋" w:hAnsi="仿宋" w:eastAsia="仿宋" w:cs="宋体"/>
          <w:color w:val="333333"/>
          <w:kern w:val="0"/>
          <w:sz w:val="24"/>
          <w:u w:val="single"/>
          <w:lang w:val="en-US" w:eastAsia="zh-CN"/>
        </w:rPr>
        <w:t>研究生新生按录取专业进行计算</w:t>
      </w:r>
      <w:r>
        <w:rPr>
          <w:rFonts w:hint="eastAsia" w:ascii="仿宋" w:hAnsi="仿宋" w:eastAsia="仿宋" w:cs="宋体"/>
          <w:color w:val="333333"/>
          <w:kern w:val="0"/>
          <w:sz w:val="24"/>
          <w:u w:val="single"/>
        </w:rPr>
        <w:t>。</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2.指标分配原则</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（1）研究生新生</w:t>
      </w:r>
    </w:p>
    <w:p>
      <w:pPr>
        <w:widowControl/>
        <w:shd w:val="clear" w:color="auto" w:fill="FFFFFF"/>
        <w:spacing w:line="360" w:lineRule="atLeast"/>
        <w:ind w:right="720" w:firstLine="480" w:firstLineChars="200"/>
        <w:jc w:val="left"/>
        <w:rPr>
          <w:rFonts w:ascii="仿宋" w:hAnsi="仿宋" w:eastAsia="仿宋" w:cs="宋体"/>
          <w:color w:val="333333"/>
          <w:kern w:val="0"/>
          <w:sz w:val="24"/>
          <w:highlight w:val="none"/>
        </w:rPr>
      </w:pPr>
      <w:r>
        <w:rPr>
          <w:rFonts w:hint="eastAsia" w:ascii="仿宋" w:hAnsi="仿宋" w:eastAsia="仿宋" w:cs="宋体"/>
          <w:color w:val="333333"/>
          <w:kern w:val="0"/>
          <w:sz w:val="24"/>
          <w:highlight w:val="none"/>
        </w:rPr>
        <w:t>硕士新生学业奖学金以本专业录取的研究生总人数为基数，按比例分配，原则上以四舍五入的方法分别计算出各专业各等级奖学金的指标。最终指标分配情况，以学院公布的为准。硕士研究生新生中的推荐免试生，自动列为一等奖学金获得者，获奖指标单列。</w:t>
      </w:r>
    </w:p>
    <w:p>
      <w:pPr>
        <w:widowControl/>
        <w:shd w:val="clear" w:color="auto" w:fill="FFFFFF"/>
        <w:spacing w:line="360" w:lineRule="atLeast"/>
        <w:ind w:right="720" w:firstLine="480" w:firstLineChars="200"/>
        <w:jc w:val="left"/>
        <w:rPr>
          <w:rFonts w:ascii="仿宋" w:hAnsi="仿宋" w:eastAsia="仿宋" w:cs="宋体"/>
          <w:color w:val="333333"/>
          <w:kern w:val="0"/>
          <w:sz w:val="24"/>
          <w:highlight w:val="none"/>
        </w:rPr>
      </w:pPr>
      <w:r>
        <w:rPr>
          <w:rFonts w:hint="eastAsia" w:ascii="仿宋" w:hAnsi="仿宋" w:eastAsia="仿宋" w:cs="宋体"/>
          <w:color w:val="333333"/>
          <w:kern w:val="0"/>
          <w:sz w:val="24"/>
          <w:highlight w:val="none"/>
        </w:rPr>
        <w:t>博士新生学业奖学金由全院统一排名进行评奖，指标不按学科分配。</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（2）研究生老生</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ascii="Calibri" w:hAnsi="Calibri" w:eastAsia="仿宋" w:cs="Calibri"/>
          <w:color w:val="333333"/>
          <w:kern w:val="0"/>
          <w:sz w:val="24"/>
        </w:rPr>
        <w:t> </w:t>
      </w:r>
      <w:r>
        <w:rPr>
          <w:rFonts w:hint="eastAsia" w:ascii="仿宋" w:hAnsi="仿宋" w:eastAsia="仿宋" w:cs="宋体"/>
          <w:color w:val="333333"/>
          <w:kern w:val="0"/>
          <w:sz w:val="24"/>
        </w:rPr>
        <w:t>①优先推荐指标：各年级推荐部分符合优先条件的研究生优先申请一等奖，获奖名额一般不超过一等奖20%的指标。</w:t>
      </w:r>
    </w:p>
    <w:p>
      <w:pPr>
        <w:widowControl/>
        <w:shd w:val="clear" w:color="auto" w:fill="FFFFFF"/>
        <w:spacing w:line="360" w:lineRule="atLeast"/>
        <w:ind w:right="720" w:firstLine="480" w:firstLineChars="200"/>
        <w:jc w:val="left"/>
        <w:rPr>
          <w:rFonts w:hint="eastAsia" w:ascii="仿宋" w:hAnsi="仿宋" w:eastAsia="仿宋" w:cs="宋体"/>
          <w:color w:val="auto"/>
          <w:kern w:val="0"/>
          <w:sz w:val="24"/>
          <w:highlight w:val="none"/>
        </w:rPr>
      </w:pPr>
      <w:r>
        <w:rPr>
          <w:rFonts w:ascii="Calibri" w:hAnsi="Calibri" w:eastAsia="仿宋" w:cs="Calibri"/>
          <w:color w:val="auto"/>
          <w:kern w:val="0"/>
          <w:sz w:val="24"/>
          <w:highlight w:val="none"/>
        </w:rPr>
        <w:t> </w:t>
      </w:r>
      <w:r>
        <w:rPr>
          <w:rFonts w:hint="eastAsia" w:ascii="仿宋" w:hAnsi="仿宋" w:eastAsia="仿宋" w:cs="宋体"/>
          <w:color w:val="auto"/>
          <w:kern w:val="0"/>
          <w:sz w:val="24"/>
          <w:highlight w:val="none"/>
        </w:rPr>
        <w:t>②常规指标：对各年级</w:t>
      </w:r>
      <w:r>
        <w:rPr>
          <w:rFonts w:hint="eastAsia" w:ascii="仿宋" w:hAnsi="仿宋" w:eastAsia="仿宋" w:cs="宋体"/>
          <w:color w:val="auto"/>
          <w:kern w:val="0"/>
          <w:sz w:val="24"/>
          <w:highlight w:val="none"/>
        </w:rPr>
        <w:t>优先推荐指标</w:t>
      </w:r>
      <w:r>
        <w:rPr>
          <w:rFonts w:hint="eastAsia" w:ascii="仿宋" w:hAnsi="仿宋" w:eastAsia="仿宋" w:cs="宋体"/>
          <w:color w:val="auto"/>
          <w:kern w:val="0"/>
          <w:sz w:val="24"/>
          <w:highlight w:val="none"/>
          <w:lang w:val="en-US" w:eastAsia="zh-CN"/>
        </w:rPr>
        <w:t>外的</w:t>
      </w:r>
      <w:r>
        <w:rPr>
          <w:rFonts w:hint="eastAsia" w:ascii="仿宋" w:hAnsi="仿宋" w:eastAsia="仿宋" w:cs="宋体"/>
          <w:color w:val="auto"/>
          <w:kern w:val="0"/>
          <w:sz w:val="24"/>
          <w:highlight w:val="none"/>
        </w:rPr>
        <w:t>一等奖指标、以及二等奖、三等奖的全部获奖指标，以“未获得优先奖励的二级学科（系）的研究生总人数”为基数，按比例分配，原则上以四舍五入的方法分别计算出各二级学科（系）各年级各等级奖学金的指标。若出现某二级学科（系）某年级研究生人数低于5个，则纳入</w:t>
      </w:r>
      <w:r>
        <w:rPr>
          <w:rFonts w:hint="eastAsia" w:ascii="仿宋" w:hAnsi="仿宋" w:eastAsia="仿宋" w:cs="宋体"/>
          <w:color w:val="auto"/>
          <w:kern w:val="0"/>
          <w:sz w:val="24"/>
          <w:highlight w:val="none"/>
          <w:lang w:val="en-US" w:eastAsia="zh-CN"/>
        </w:rPr>
        <w:t>专业相近</w:t>
      </w:r>
      <w:r>
        <w:rPr>
          <w:rFonts w:hint="eastAsia" w:ascii="仿宋" w:hAnsi="仿宋" w:eastAsia="仿宋" w:cs="宋体"/>
          <w:color w:val="auto"/>
          <w:kern w:val="0"/>
          <w:sz w:val="24"/>
          <w:highlight w:val="none"/>
        </w:rPr>
        <w:t>的其他二级学科（系）一起分配</w:t>
      </w:r>
      <w:r>
        <w:rPr>
          <w:rFonts w:hint="eastAsia" w:ascii="仿宋" w:hAnsi="仿宋" w:eastAsia="仿宋" w:cs="宋体"/>
          <w:color w:val="auto"/>
          <w:kern w:val="0"/>
          <w:sz w:val="24"/>
          <w:highlight w:val="none"/>
          <w:lang w:eastAsia="zh-CN"/>
        </w:rPr>
        <w:t xml:space="preserve"> 。</w:t>
      </w:r>
      <w:r>
        <w:rPr>
          <w:rFonts w:hint="eastAsia" w:ascii="仿宋" w:hAnsi="仿宋" w:eastAsia="仿宋" w:cs="宋体"/>
          <w:color w:val="auto"/>
          <w:kern w:val="0"/>
          <w:sz w:val="24"/>
          <w:highlight w:val="none"/>
        </w:rPr>
        <w:t>最终指标分配情况，以学院公布的为准。</w:t>
      </w:r>
    </w:p>
    <w:p>
      <w:pPr>
        <w:widowControl/>
        <w:shd w:val="clear" w:color="auto" w:fill="FFFFFF"/>
        <w:spacing w:line="360" w:lineRule="atLeast"/>
        <w:ind w:right="720" w:firstLine="482" w:firstLineChars="200"/>
        <w:jc w:val="left"/>
        <w:rPr>
          <w:rFonts w:ascii="仿宋" w:hAnsi="仿宋" w:eastAsia="仿宋" w:cs="宋体"/>
          <w:b/>
          <w:bCs/>
          <w:color w:val="333333"/>
          <w:kern w:val="0"/>
          <w:sz w:val="24"/>
        </w:rPr>
      </w:pPr>
      <w:r>
        <w:rPr>
          <w:rFonts w:ascii="仿宋" w:hAnsi="仿宋" w:eastAsia="仿宋" w:cs="宋体"/>
          <w:b/>
          <w:bCs/>
          <w:color w:val="333333"/>
          <w:kern w:val="0"/>
          <w:sz w:val="24"/>
        </w:rPr>
        <w:t>（二）国家奖学金</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1.国家奖学金分为博士研究生国家奖学金和硕士研究生国家奖学金。国家奖学金的获奖指标与奖励标准，以学校当年公布为准。</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2.指标分配原则</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（1）研究生新生</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新生国家奖学金由学校统一评审。</w:t>
      </w:r>
    </w:p>
    <w:p>
      <w:pPr>
        <w:widowControl/>
        <w:shd w:val="clear" w:color="auto" w:fill="FFFFFF"/>
        <w:spacing w:line="360" w:lineRule="atLeast"/>
        <w:ind w:right="720"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（2）研究生老生</w:t>
      </w:r>
    </w:p>
    <w:p>
      <w:pPr>
        <w:widowControl/>
        <w:shd w:val="clear" w:color="auto" w:fill="FFFFFF"/>
        <w:spacing w:line="360" w:lineRule="atLeast"/>
        <w:ind w:right="720" w:firstLine="480" w:firstLineChars="200"/>
        <w:jc w:val="left"/>
        <w:rPr>
          <w:rFonts w:hint="eastAsia" w:ascii="仿宋" w:hAnsi="仿宋" w:eastAsia="仿宋" w:cs="宋体"/>
          <w:color w:val="auto"/>
          <w:kern w:val="0"/>
          <w:sz w:val="24"/>
          <w:highlight w:val="none"/>
          <w:u w:val="single"/>
        </w:rPr>
      </w:pPr>
      <w:r>
        <w:rPr>
          <w:rFonts w:hint="eastAsia" w:ascii="仿宋" w:hAnsi="仿宋" w:eastAsia="仿宋" w:cs="宋体"/>
          <w:color w:val="auto"/>
          <w:kern w:val="0"/>
          <w:sz w:val="24"/>
          <w:highlight w:val="none"/>
          <w:u w:val="single"/>
        </w:rPr>
        <w:t>博士生、硕士生分开计算，但各年级不分开计算。</w:t>
      </w:r>
    </w:p>
    <w:p>
      <w:pPr>
        <w:widowControl/>
        <w:shd w:val="clear" w:color="auto" w:fill="FFFFFF"/>
        <w:spacing w:line="360" w:lineRule="atLeast"/>
        <w:ind w:right="720" w:firstLine="480" w:firstLineChars="200"/>
        <w:jc w:val="left"/>
        <w:rPr>
          <w:rFonts w:hint="eastAsia" w:ascii="仿宋" w:hAnsi="仿宋" w:eastAsia="仿宋" w:cs="宋体"/>
          <w:color w:val="auto"/>
          <w:kern w:val="0"/>
          <w:sz w:val="24"/>
          <w:highlight w:val="none"/>
          <w:u w:val="single"/>
          <w:lang w:val="en-US" w:eastAsia="zh-CN"/>
        </w:rPr>
      </w:pPr>
      <w:r>
        <w:rPr>
          <w:rFonts w:hint="eastAsia" w:ascii="仿宋" w:hAnsi="仿宋" w:eastAsia="仿宋" w:cs="宋体"/>
          <w:color w:val="auto"/>
          <w:kern w:val="0"/>
          <w:sz w:val="24"/>
          <w:highlight w:val="none"/>
          <w:u w:val="single"/>
        </w:rPr>
        <w:t> ①优先推荐指标：推荐部分符合优先条件的博士生和硕士生优先申请奖学金，获奖名额</w:t>
      </w:r>
      <w:r>
        <w:rPr>
          <w:rFonts w:hint="eastAsia" w:ascii="仿宋" w:hAnsi="仿宋" w:eastAsia="仿宋" w:cs="宋体"/>
          <w:color w:val="auto"/>
          <w:kern w:val="0"/>
          <w:sz w:val="24"/>
          <w:highlight w:val="none"/>
          <w:u w:val="single"/>
          <w:lang w:val="en-US" w:eastAsia="zh-CN"/>
        </w:rPr>
        <w:t>原则上</w:t>
      </w:r>
      <w:r>
        <w:rPr>
          <w:rFonts w:hint="eastAsia" w:ascii="仿宋" w:hAnsi="仿宋" w:eastAsia="仿宋" w:cs="宋体"/>
          <w:color w:val="auto"/>
          <w:kern w:val="0"/>
          <w:sz w:val="24"/>
          <w:highlight w:val="none"/>
          <w:u w:val="single"/>
        </w:rPr>
        <w:t>不超过</w:t>
      </w:r>
      <w:r>
        <w:rPr>
          <w:rFonts w:hint="eastAsia" w:ascii="仿宋" w:hAnsi="仿宋" w:eastAsia="仿宋" w:cs="宋体"/>
          <w:color w:val="auto"/>
          <w:kern w:val="0"/>
          <w:sz w:val="24"/>
          <w:highlight w:val="none"/>
          <w:u w:val="single"/>
          <w:lang w:val="en-US" w:eastAsia="zh-CN"/>
        </w:rPr>
        <w:t>研究生</w:t>
      </w:r>
      <w:r>
        <w:rPr>
          <w:rFonts w:hint="eastAsia" w:ascii="仿宋" w:hAnsi="仿宋" w:eastAsia="仿宋" w:cs="宋体"/>
          <w:color w:val="auto"/>
          <w:kern w:val="0"/>
          <w:sz w:val="24"/>
          <w:highlight w:val="none"/>
          <w:u w:val="single"/>
        </w:rPr>
        <w:t>获奖指标的20%。</w:t>
      </w:r>
      <w:r>
        <w:rPr>
          <w:rFonts w:hint="eastAsia" w:ascii="仿宋" w:hAnsi="仿宋" w:eastAsia="仿宋" w:cs="宋体"/>
          <w:color w:val="auto"/>
          <w:kern w:val="0"/>
          <w:sz w:val="24"/>
          <w:highlight w:val="none"/>
          <w:u w:val="single"/>
          <w:lang w:val="en-US" w:eastAsia="zh-CN"/>
        </w:rPr>
        <w:t>若学校分配名额少，未能达到优先推荐指标，则全部纳入常规指标计算。</w:t>
      </w:r>
    </w:p>
    <w:p>
      <w:pPr>
        <w:widowControl/>
        <w:shd w:val="clear" w:color="auto" w:fill="FFFFFF"/>
        <w:spacing w:line="360" w:lineRule="atLeast"/>
        <w:ind w:right="720" w:firstLine="480" w:firstLineChars="200"/>
        <w:jc w:val="left"/>
        <w:rPr>
          <w:rFonts w:hint="eastAsia" w:ascii="仿宋" w:hAnsi="仿宋" w:eastAsia="仿宋" w:cs="宋体"/>
          <w:color w:val="auto"/>
          <w:kern w:val="0"/>
          <w:sz w:val="24"/>
          <w:highlight w:val="none"/>
          <w:u w:val="single"/>
        </w:rPr>
      </w:pPr>
      <w:r>
        <w:rPr>
          <w:rFonts w:hint="eastAsia" w:ascii="仿宋" w:hAnsi="仿宋" w:eastAsia="仿宋" w:cs="宋体"/>
          <w:color w:val="auto"/>
          <w:kern w:val="0"/>
          <w:sz w:val="24"/>
          <w:highlight w:val="none"/>
          <w:u w:val="single"/>
        </w:rPr>
        <w:t> ②常规指标：对</w:t>
      </w:r>
      <w:r>
        <w:rPr>
          <w:rFonts w:hint="eastAsia" w:ascii="仿宋" w:hAnsi="仿宋" w:eastAsia="仿宋" w:cs="宋体"/>
          <w:color w:val="auto"/>
          <w:kern w:val="0"/>
          <w:sz w:val="24"/>
          <w:highlight w:val="none"/>
          <w:u w:val="single"/>
        </w:rPr>
        <w:t>优先推荐指标</w:t>
      </w:r>
      <w:r>
        <w:rPr>
          <w:rFonts w:hint="eastAsia" w:ascii="仿宋" w:hAnsi="仿宋" w:eastAsia="仿宋" w:cs="宋体"/>
          <w:color w:val="auto"/>
          <w:kern w:val="0"/>
          <w:sz w:val="24"/>
          <w:highlight w:val="none"/>
          <w:u w:val="single"/>
          <w:lang w:val="en-US" w:eastAsia="zh-CN"/>
        </w:rPr>
        <w:t>外的研究生</w:t>
      </w:r>
      <w:r>
        <w:rPr>
          <w:rFonts w:hint="eastAsia" w:ascii="仿宋" w:hAnsi="仿宋" w:eastAsia="仿宋" w:cs="宋体"/>
          <w:color w:val="auto"/>
          <w:kern w:val="0"/>
          <w:sz w:val="24"/>
          <w:highlight w:val="none"/>
          <w:u w:val="single"/>
        </w:rPr>
        <w:t>获奖指标，以“未获得优先奖励的</w:t>
      </w:r>
      <w:r>
        <w:rPr>
          <w:rFonts w:hint="eastAsia" w:ascii="仿宋" w:hAnsi="仿宋" w:eastAsia="仿宋" w:cs="宋体"/>
          <w:color w:val="auto"/>
          <w:kern w:val="0"/>
          <w:sz w:val="24"/>
          <w:highlight w:val="none"/>
          <w:u w:val="single"/>
          <w:lang w:val="en-US" w:eastAsia="zh-CN"/>
        </w:rPr>
        <w:t>研究生</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lang w:val="en-US" w:eastAsia="zh-CN"/>
        </w:rPr>
        <w:t>进行综合排名，总分排名靠前的同学获得国奖，且原则上同一个二级学科的研究生获奖指标不超过1个</w:t>
      </w:r>
      <w:r>
        <w:rPr>
          <w:rFonts w:hint="eastAsia" w:ascii="仿宋" w:hAnsi="仿宋" w:eastAsia="仿宋" w:cs="宋体"/>
          <w:color w:val="auto"/>
          <w:kern w:val="0"/>
          <w:sz w:val="24"/>
          <w:highlight w:val="none"/>
          <w:u w:val="single"/>
        </w:rPr>
        <w:t>。</w:t>
      </w:r>
    </w:p>
    <w:p>
      <w:pPr>
        <w:widowControl/>
        <w:shd w:val="clear" w:color="auto" w:fill="FFFFFF"/>
        <w:spacing w:line="360" w:lineRule="atLeast"/>
        <w:ind w:right="720"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u w:val="single"/>
          <w:lang w:val="en-US" w:eastAsia="zh-CN"/>
        </w:rPr>
        <w:t>若各二级学科均获得1个国奖指标后，剩余的国奖指标由未获得国奖的各二级学科研究生再次综合排名（排名不分学科），由排名靠前者获得国奖指标。</w:t>
      </w:r>
      <w:r>
        <w:rPr>
          <w:rFonts w:hint="eastAsia" w:ascii="仿宋" w:hAnsi="仿宋" w:eastAsia="仿宋" w:cs="宋体"/>
          <w:color w:val="auto"/>
          <w:kern w:val="0"/>
          <w:sz w:val="24"/>
          <w:highlight w:val="none"/>
          <w:u w:val="single"/>
        </w:rPr>
        <w:t>最终指标分配情况，以学院公布的为准。</w:t>
      </w:r>
    </w:p>
    <w:p>
      <w:pPr>
        <w:widowControl/>
        <w:shd w:val="clear" w:color="auto" w:fill="FFFFFF"/>
        <w:spacing w:line="360" w:lineRule="atLeast"/>
        <w:ind w:left="0" w:right="720" w:firstLine="480" w:firstLineChars="200"/>
        <w:jc w:val="left"/>
        <w:rPr>
          <w:rFonts w:hint="eastAsia" w:ascii="仿宋" w:hAnsi="仿宋" w:eastAsia="仿宋" w:cs="宋体"/>
          <w:color w:val="auto"/>
          <w:kern w:val="0"/>
          <w:sz w:val="24"/>
          <w:highlight w:val="none"/>
        </w:rPr>
      </w:pPr>
    </w:p>
    <w:p>
      <w:pPr>
        <w:widowControl/>
        <w:shd w:val="clear" w:color="auto" w:fill="FFFFFF"/>
        <w:spacing w:line="360" w:lineRule="atLeast"/>
        <w:ind w:right="720"/>
        <w:jc w:val="left"/>
        <w:rPr>
          <w:rFonts w:ascii="宋体" w:hAnsi="宋体" w:cs="宋体"/>
          <w:kern w:val="0"/>
          <w:sz w:val="24"/>
        </w:rPr>
      </w:pPr>
      <w:r>
        <w:rPr>
          <w:rFonts w:hint="eastAsia" w:ascii="黑体" w:hAnsi="黑体" w:eastAsia="黑体" w:cs="宋体"/>
          <w:color w:val="333333"/>
          <w:kern w:val="0"/>
          <w:sz w:val="24"/>
        </w:rPr>
        <w:t>四、评选基本条件</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1.热爱社会主义祖国，拥护中国共产党的领导；</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2.遵守宪法和法律，遵守学校规章制度；</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3.诚实守信，品学兼优；</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4.积极参与科学研究和社会实践；</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5.有下列情况之一者不能申请：</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（1）在学校规定时间内未完成注册手续；</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（2）新生经查实在研究生入学考试中隐瞒事实或有虚假内容；</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（3）评审年度受到学校通报批评以上（含通报批评）处理或处分；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（4）老生参评学年度课程考试有一门以上（含一门）不及格；</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（5）休学、保留学籍及经学校批准复学不满半年；</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（6）申请评奖的研究成果存在明显争议者；</w:t>
      </w:r>
    </w:p>
    <w:p>
      <w:pPr>
        <w:widowControl/>
        <w:shd w:val="clear" w:color="auto" w:fill="FFFFFF"/>
        <w:spacing w:line="360" w:lineRule="atLeast"/>
        <w:ind w:right="720" w:firstLine="480" w:firstLineChars="200"/>
        <w:jc w:val="left"/>
        <w:rPr>
          <w:rFonts w:hint="default" w:ascii="Calibri" w:hAnsi="Calibri" w:eastAsia="仿宋" w:cs="Calibri"/>
          <w:color w:val="333333"/>
          <w:kern w:val="0"/>
          <w:sz w:val="24"/>
          <w:lang w:val="en-US" w:eastAsia="zh-CN"/>
        </w:rPr>
      </w:pPr>
      <w:r>
        <w:rPr>
          <w:rFonts w:hint="eastAsia" w:ascii="Calibri" w:hAnsi="Calibri" w:eastAsia="仿宋" w:cs="Calibri"/>
          <w:color w:val="333333"/>
          <w:kern w:val="0"/>
          <w:sz w:val="24"/>
        </w:rPr>
        <w:t>（7）因各种原因退学。</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jc w:val="left"/>
        <w:rPr>
          <w:rFonts w:ascii="宋体" w:hAnsi="宋体" w:cs="宋体"/>
          <w:kern w:val="0"/>
          <w:sz w:val="24"/>
        </w:rPr>
      </w:pPr>
      <w:r>
        <w:rPr>
          <w:rFonts w:hint="eastAsia" w:ascii="黑体" w:hAnsi="黑体" w:eastAsia="黑体" w:cs="宋体"/>
          <w:color w:val="333333"/>
          <w:kern w:val="0"/>
          <w:sz w:val="24"/>
        </w:rPr>
        <w:t>五、评选项目及评分标准</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（一）新生学业奖学金评选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1.硕士生新生</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（1）优先条件</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具备以下条件之一者优先申报一等奖学金，按优先权先后分别为：</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第一优先条件：推荐免试生；</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第二优先条件：第一志愿报考我校者；</w:t>
      </w:r>
    </w:p>
    <w:p>
      <w:pPr>
        <w:widowControl/>
        <w:shd w:val="clear" w:color="auto" w:fill="FFFFFF"/>
        <w:spacing w:line="360" w:lineRule="atLeast"/>
        <w:ind w:right="720" w:firstLine="480" w:firstLineChars="200"/>
        <w:jc w:val="left"/>
        <w:rPr>
          <w:rFonts w:ascii="Calibri" w:hAnsi="Calibri" w:eastAsia="仿宋" w:cs="Calibri"/>
          <w:color w:val="333333"/>
          <w:kern w:val="0"/>
          <w:sz w:val="24"/>
          <w:u w:val="single"/>
        </w:rPr>
      </w:pPr>
      <w:r>
        <w:rPr>
          <w:rFonts w:hint="eastAsia" w:ascii="Calibri" w:hAnsi="Calibri" w:eastAsia="仿宋" w:cs="Calibri"/>
          <w:color w:val="333333"/>
          <w:kern w:val="0"/>
          <w:sz w:val="24"/>
          <w:u w:val="single"/>
        </w:rPr>
        <w:t>第三优先条件：本科毕业于</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lang w:val="en-US" w:eastAsia="zh-CN"/>
        </w:rPr>
        <w:t>双一流</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lang w:val="en-US" w:eastAsia="zh-CN"/>
        </w:rPr>
        <w:t>院校</w:t>
      </w:r>
      <w:r>
        <w:rPr>
          <w:rFonts w:hint="eastAsia" w:ascii="Calibri" w:hAnsi="Calibri" w:eastAsia="仿宋" w:cs="Calibri"/>
          <w:color w:val="333333"/>
          <w:kern w:val="0"/>
          <w:sz w:val="24"/>
          <w:u w:val="single"/>
        </w:rPr>
        <w:t>；</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第四优先条件：公开发表学术论文、授权发明专利或在省级以上学科竞赛中取得良好成绩；</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第五优先条件：公开招考生入学考试初试成绩总分在本学院本专业排名前30%；</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第六优先条件：本科阶段曾经获得国家级或校级一等奖学金；</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第七优先条件：本科阶段各科平均分成绩达85分以上。</w:t>
      </w:r>
    </w:p>
    <w:p>
      <w:pPr>
        <w:widowControl/>
        <w:shd w:val="clear" w:color="auto" w:fill="FFFFFF"/>
        <w:spacing w:line="360" w:lineRule="atLeast"/>
        <w:ind w:right="720" w:firstLine="480" w:firstLineChars="200"/>
        <w:jc w:val="left"/>
        <w:rPr>
          <w:rFonts w:ascii="Calibri" w:hAnsi="Calibri" w:eastAsia="仿宋" w:cs="Calibri"/>
          <w:color w:val="333333"/>
          <w:kern w:val="0"/>
          <w:sz w:val="24"/>
          <w:u w:val="single"/>
        </w:rPr>
      </w:pPr>
      <w:r>
        <w:rPr>
          <w:rFonts w:hint="eastAsia" w:ascii="Calibri" w:hAnsi="Calibri" w:eastAsia="仿宋" w:cs="Calibri"/>
          <w:color w:val="333333"/>
          <w:kern w:val="0"/>
          <w:sz w:val="24"/>
          <w:u w:val="single"/>
        </w:rPr>
        <w:t>注：一等奖优先条件中所提到的学术论文，指的</w:t>
      </w:r>
      <w:r>
        <w:rPr>
          <w:rFonts w:hint="eastAsia" w:ascii="Calibri" w:hAnsi="Calibri" w:eastAsia="仿宋" w:cs="Calibri"/>
          <w:color w:val="333333"/>
          <w:kern w:val="0"/>
          <w:sz w:val="24"/>
          <w:u w:val="single"/>
          <w:lang w:val="en-US" w:eastAsia="zh-CN"/>
        </w:rPr>
        <w:t>是</w:t>
      </w:r>
      <w:r>
        <w:rPr>
          <w:rFonts w:hint="eastAsia" w:ascii="Calibri" w:hAnsi="Calibri" w:eastAsia="仿宋" w:cs="Calibri"/>
          <w:color w:val="333333"/>
          <w:kern w:val="0"/>
          <w:sz w:val="24"/>
          <w:u w:val="single"/>
          <w:lang w:val="en-US" w:eastAsia="zh-CN"/>
        </w:rPr>
        <w:t>T</w:t>
      </w:r>
      <w:r>
        <w:rPr>
          <w:rFonts w:hint="eastAsia" w:ascii="Calibri" w:hAnsi="Calibri" w:eastAsia="仿宋" w:cs="Calibri"/>
          <w:color w:val="333333"/>
          <w:kern w:val="0"/>
          <w:sz w:val="24"/>
          <w:u w:val="single"/>
          <w:lang w:val="en-US" w:eastAsia="zh-CN"/>
        </w:rPr>
        <w:t>1、</w:t>
      </w:r>
      <w:r>
        <w:rPr>
          <w:rFonts w:hint="eastAsia" w:ascii="Calibri" w:hAnsi="Calibri" w:eastAsia="仿宋" w:cs="Calibri"/>
          <w:color w:val="333333"/>
          <w:kern w:val="0"/>
          <w:sz w:val="24"/>
          <w:u w:val="single"/>
          <w:lang w:val="en-US" w:eastAsia="zh-CN"/>
        </w:rPr>
        <w:t>T2</w:t>
      </w:r>
      <w:r>
        <w:rPr>
          <w:rFonts w:hint="eastAsia" w:ascii="Calibri" w:hAnsi="Calibri" w:eastAsia="仿宋" w:cs="Calibri"/>
          <w:color w:val="333333"/>
          <w:kern w:val="0"/>
          <w:sz w:val="24"/>
          <w:u w:val="single"/>
          <w:lang w:val="en-US" w:eastAsia="zh-CN"/>
        </w:rPr>
        <w:t>、</w:t>
      </w:r>
      <w:r>
        <w:rPr>
          <w:rFonts w:hint="eastAsia" w:ascii="Calibri" w:hAnsi="Calibri" w:eastAsia="仿宋" w:cs="Calibri"/>
          <w:color w:val="333333"/>
          <w:kern w:val="0"/>
          <w:sz w:val="24"/>
          <w:u w:val="single"/>
          <w:lang w:val="en-US" w:eastAsia="zh-CN"/>
        </w:rPr>
        <w:t>A</w:t>
      </w:r>
      <w:r>
        <w:rPr>
          <w:rFonts w:hint="eastAsia" w:ascii="Calibri" w:hAnsi="Calibri" w:eastAsia="仿宋" w:cs="Calibri"/>
          <w:color w:val="333333"/>
          <w:kern w:val="0"/>
          <w:sz w:val="24"/>
          <w:u w:val="single"/>
          <w:lang w:val="en-US" w:eastAsia="zh-CN"/>
        </w:rPr>
        <w:t>、</w:t>
      </w:r>
      <w:r>
        <w:rPr>
          <w:rFonts w:hint="eastAsia" w:ascii="Calibri" w:hAnsi="Calibri" w:eastAsia="仿宋" w:cs="Calibri"/>
          <w:color w:val="333333"/>
          <w:kern w:val="0"/>
          <w:sz w:val="24"/>
          <w:u w:val="single"/>
          <w:lang w:val="en-US" w:eastAsia="zh-CN"/>
        </w:rPr>
        <w:t>B</w:t>
      </w:r>
      <w:r>
        <w:rPr>
          <w:rFonts w:hint="eastAsia" w:ascii="Calibri" w:hAnsi="Calibri" w:eastAsia="仿宋" w:cs="Calibri"/>
          <w:color w:val="333333"/>
          <w:kern w:val="0"/>
          <w:sz w:val="24"/>
          <w:u w:val="single"/>
          <w:lang w:val="en-US" w:eastAsia="zh-CN"/>
        </w:rPr>
        <w:t>、</w:t>
      </w:r>
      <w:r>
        <w:rPr>
          <w:rFonts w:hint="eastAsia" w:ascii="Calibri" w:hAnsi="Calibri" w:eastAsia="仿宋" w:cs="Calibri"/>
          <w:color w:val="333333"/>
          <w:kern w:val="0"/>
          <w:sz w:val="24"/>
          <w:u w:val="single"/>
          <w:lang w:val="en-US" w:eastAsia="zh-CN"/>
        </w:rPr>
        <w:t>C类</w:t>
      </w:r>
      <w:r>
        <w:rPr>
          <w:rFonts w:hint="eastAsia" w:ascii="Calibri" w:hAnsi="Calibri" w:eastAsia="仿宋" w:cs="Calibri"/>
          <w:color w:val="333333"/>
          <w:kern w:val="0"/>
          <w:sz w:val="24"/>
          <w:u w:val="single"/>
        </w:rPr>
        <w:t>论文。SCI、EI收录的正式刊物论文，以图书馆出具的最新收录证明为准。中文核心期刊以北京大学出版社《中文核心期刊要目总览》（最新版）为准。授权品种权可等同发明专利的条件，发明专利（品种权）原则上以国家公布时间为准，鉴于批准周期长的原因，发明专利（品种权）可以参考收到实审通知时间；实用新型、外观设计专利以专利授权公布时间为准。学科竞赛，一般指由政府部门、机关单位、党团组织、国家一级行业学会或协会举办的</w:t>
      </w:r>
      <w:r>
        <w:rPr>
          <w:rFonts w:hint="eastAsia" w:ascii="Calibri" w:hAnsi="Calibri" w:eastAsia="仿宋" w:cs="Calibri"/>
          <w:color w:val="333333"/>
          <w:kern w:val="0"/>
          <w:sz w:val="24"/>
          <w:u w:val="single"/>
          <w:lang w:val="en-US" w:eastAsia="zh-CN"/>
        </w:rPr>
        <w:t>植保、</w:t>
      </w:r>
      <w:r>
        <w:rPr>
          <w:rFonts w:hint="eastAsia" w:ascii="Calibri" w:hAnsi="Calibri" w:eastAsia="仿宋" w:cs="Calibri"/>
          <w:color w:val="333333"/>
          <w:kern w:val="0"/>
          <w:sz w:val="24"/>
          <w:u w:val="single"/>
        </w:rPr>
        <w:t>生物</w:t>
      </w:r>
      <w:r>
        <w:rPr>
          <w:rFonts w:hint="eastAsia" w:ascii="Calibri" w:hAnsi="Calibri" w:eastAsia="仿宋" w:cs="Calibri"/>
          <w:color w:val="333333"/>
          <w:kern w:val="0"/>
          <w:sz w:val="24"/>
          <w:u w:val="single"/>
          <w:lang w:val="en-US" w:eastAsia="zh-CN"/>
        </w:rPr>
        <w:t>等</w:t>
      </w:r>
      <w:r>
        <w:rPr>
          <w:rFonts w:hint="eastAsia" w:ascii="Calibri" w:hAnsi="Calibri" w:eastAsia="仿宋" w:cs="Calibri"/>
          <w:color w:val="333333"/>
          <w:kern w:val="0"/>
          <w:sz w:val="24"/>
          <w:u w:val="single"/>
        </w:rPr>
        <w:t>相关的竞赛。国家级奖学金，指的是“国家奖学金”，“国家励志奖学金”不纳入优先条件范围。发表论文，</w:t>
      </w:r>
      <w:r>
        <w:rPr>
          <w:rFonts w:hint="eastAsia" w:ascii="Calibri" w:hAnsi="Calibri" w:eastAsia="仿宋" w:cs="Calibri"/>
          <w:color w:val="333333"/>
          <w:kern w:val="0"/>
          <w:sz w:val="24"/>
          <w:u w:val="single"/>
          <w:lang w:val="en-US" w:eastAsia="zh-CN"/>
        </w:rPr>
        <w:t>仅承认1作</w:t>
      </w:r>
      <w:r>
        <w:rPr>
          <w:rFonts w:hint="eastAsia" w:ascii="Calibri" w:hAnsi="Calibri" w:eastAsia="仿宋" w:cs="Calibri"/>
          <w:color w:val="333333"/>
          <w:kern w:val="0"/>
          <w:sz w:val="24"/>
          <w:u w:val="single"/>
        </w:rPr>
        <w:t>（若论文出现共同第一作者的情况，仅排名</w:t>
      </w:r>
      <w:r>
        <w:rPr>
          <w:rFonts w:hint="eastAsia" w:ascii="Calibri" w:hAnsi="Calibri" w:eastAsia="仿宋" w:cs="Calibri"/>
          <w:color w:val="333333"/>
          <w:kern w:val="0"/>
          <w:sz w:val="24"/>
          <w:u w:val="single"/>
          <w:lang w:val="en-US" w:eastAsia="zh-CN"/>
        </w:rPr>
        <w:t>前3</w:t>
      </w:r>
      <w:r>
        <w:rPr>
          <w:rFonts w:hint="eastAsia" w:ascii="Calibri" w:hAnsi="Calibri" w:eastAsia="仿宋" w:cs="Calibri"/>
          <w:color w:val="333333"/>
          <w:kern w:val="0"/>
          <w:sz w:val="24"/>
          <w:u w:val="single"/>
        </w:rPr>
        <w:t>有效），</w:t>
      </w:r>
      <w:r>
        <w:rPr>
          <w:rFonts w:hint="eastAsia" w:ascii="Calibri" w:hAnsi="Calibri" w:eastAsia="仿宋" w:cs="Calibri"/>
          <w:color w:val="333333"/>
          <w:kern w:val="0"/>
          <w:sz w:val="24"/>
          <w:u w:val="single"/>
        </w:rPr>
        <w:t>专利、学科竞赛等</w:t>
      </w:r>
      <w:r>
        <w:rPr>
          <w:rFonts w:hint="eastAsia" w:ascii="Calibri" w:hAnsi="Calibri" w:eastAsia="仿宋" w:cs="Calibri"/>
          <w:color w:val="333333"/>
          <w:kern w:val="0"/>
          <w:sz w:val="24"/>
          <w:u w:val="single"/>
        </w:rPr>
        <w:t>研究成果</w:t>
      </w:r>
      <w:r>
        <w:rPr>
          <w:rFonts w:hint="eastAsia" w:ascii="Calibri" w:hAnsi="Calibri" w:eastAsia="仿宋" w:cs="Calibri"/>
          <w:color w:val="333333"/>
          <w:kern w:val="0"/>
          <w:sz w:val="24"/>
          <w:u w:val="single"/>
          <w:lang w:val="en-US" w:eastAsia="zh-CN"/>
        </w:rPr>
        <w:t>需排名前3（专利排名不含老师），</w:t>
      </w:r>
      <w:r>
        <w:rPr>
          <w:rFonts w:hint="eastAsia" w:ascii="Calibri" w:hAnsi="Calibri" w:eastAsia="仿宋" w:cs="Calibri"/>
          <w:color w:val="333333"/>
          <w:kern w:val="0"/>
          <w:sz w:val="24"/>
          <w:u w:val="single"/>
        </w:rPr>
        <w:t>应为本科期间至参评当年度8月31日</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lang w:val="en-US" w:eastAsia="zh-CN"/>
        </w:rPr>
        <w:t>含</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rPr>
        <w:t>前所获得的研究成果。第七优先条件提到的“平均分”，为算术平均分成绩。</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（2）评选办法</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①组织“符合一等奖优先条件”的硕士生进行评选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若“符合一等奖优先条件”硕士生人数不超过一等奖获奖指标，则这部分硕士生全部定为一等奖。</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若“符合一等奖优先条件”硕士生人数已超出一等奖获奖指标，则先对这部分硕士生进行排序，再择优确定一等奖获得者，具体程序为：第一步，按照每位硕士生具备的最高优先权条件进行排序。具备第一优先权的排最前，不具备第一优先权但具备第二优先权的紧随其后，以此类推。若具备的最高优先条件是相同的，则观察是否具备次一级优先权，具备者名次靠前；若次一级优先权情况依然相同，则继续再比较下一级优先权，以此类推。若出现各项优先权条件是完全相同的硕士生，则按照“入学考试综合成绩专业排名分”排序。第二步，按照以上原则进行排序后，根据排名遴选出一等奖学金名单。第三步，满足优先条件但没有评上一等奖的硕士生，一般可直接评为二等奖（若这部分人数也超出二等奖指标，则按排序择优确定二等奖获得者）。</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②组织“未符合一等奖优先条件”的硕士生进行评选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上述第①个程序结束后，再组织“未符合一等奖优先条件”的硕士生评出余下的各级奖学金，按照“入学考试综合成绩专业排名分”排序，从高到低进行评选。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在①和②评选过程，若按照以上规则仍然无法确定排名的，则由学院研究生奖学金评审委员会讨论决定最终排序。</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（注：“入学考试综合成绩专业排名分”=入学考试综合成绩（初试+复试）/本专业入学考试综合成绩的最高分*100）</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2.博士生新生</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（1）优先条件</w:t>
      </w:r>
    </w:p>
    <w:p>
      <w:pPr>
        <w:widowControl/>
        <w:shd w:val="clear" w:color="auto" w:fill="FFFFFF"/>
        <w:spacing w:line="360" w:lineRule="atLeast"/>
        <w:ind w:right="720" w:firstLine="480" w:firstLineChars="200"/>
        <w:jc w:val="left"/>
        <w:rPr>
          <w:rFonts w:ascii="Calibri" w:hAnsi="Calibri" w:eastAsia="仿宋" w:cs="Calibri"/>
          <w:b w:val="0"/>
          <w:bCs w:val="0"/>
          <w:color w:val="333333"/>
          <w:kern w:val="0"/>
          <w:sz w:val="24"/>
        </w:rPr>
      </w:pPr>
      <w:r>
        <w:rPr>
          <w:rFonts w:hint="eastAsia" w:ascii="Calibri" w:hAnsi="Calibri" w:eastAsia="仿宋" w:cs="Calibri"/>
          <w:b w:val="0"/>
          <w:bCs w:val="0"/>
          <w:color w:val="333333"/>
          <w:kern w:val="0"/>
          <w:sz w:val="24"/>
        </w:rPr>
        <w:t>具备以下条件之一者优先申报一等奖，按优先权先后分别为：</w:t>
      </w:r>
    </w:p>
    <w:p>
      <w:pPr>
        <w:widowControl/>
        <w:shd w:val="clear" w:color="auto" w:fill="FFFFFF"/>
        <w:spacing w:line="360" w:lineRule="atLeast"/>
        <w:ind w:right="720" w:firstLine="480" w:firstLineChars="200"/>
        <w:jc w:val="left"/>
        <w:rPr>
          <w:rFonts w:hint="eastAsia" w:ascii="Calibri" w:hAnsi="Calibri" w:eastAsia="仿宋" w:cs="Calibri"/>
          <w:b w:val="0"/>
          <w:bCs w:val="0"/>
          <w:color w:val="333333"/>
          <w:kern w:val="0"/>
          <w:sz w:val="24"/>
          <w:u w:val="single"/>
        </w:rPr>
      </w:pPr>
      <w:r>
        <w:rPr>
          <w:rFonts w:hint="eastAsia" w:ascii="Calibri" w:hAnsi="Calibri" w:eastAsia="仿宋" w:cs="Calibri"/>
          <w:b w:val="0"/>
          <w:bCs w:val="0"/>
          <w:color w:val="333333"/>
          <w:kern w:val="0"/>
          <w:sz w:val="24"/>
          <w:u w:val="single"/>
        </w:rPr>
        <w:t>第一优先权：科研能力强，在正式期刊公开发表与本专业相关的</w:t>
      </w:r>
      <w:r>
        <w:rPr>
          <w:rFonts w:hint="eastAsia" w:ascii="Calibri" w:hAnsi="Calibri" w:eastAsia="仿宋" w:cs="Calibri"/>
          <w:b w:val="0"/>
          <w:bCs w:val="0"/>
          <w:color w:val="333333"/>
          <w:kern w:val="0"/>
          <w:sz w:val="24"/>
          <w:u w:val="single"/>
          <w:lang w:val="en-US" w:eastAsia="zh-CN"/>
        </w:rPr>
        <w:t>T1、T2类</w:t>
      </w:r>
      <w:r>
        <w:rPr>
          <w:rFonts w:hint="eastAsia" w:ascii="Calibri" w:hAnsi="Calibri" w:eastAsia="仿宋" w:cs="Calibri"/>
          <w:b w:val="0"/>
          <w:bCs w:val="0"/>
          <w:color w:val="333333"/>
          <w:kern w:val="0"/>
          <w:sz w:val="24"/>
          <w:u w:val="single"/>
        </w:rPr>
        <w:t>学术论文。</w:t>
      </w:r>
    </w:p>
    <w:p>
      <w:pPr>
        <w:widowControl/>
        <w:shd w:val="clear" w:color="auto" w:fill="FFFFFF"/>
        <w:spacing w:line="360" w:lineRule="atLeast"/>
        <w:ind w:right="720" w:firstLine="480" w:firstLineChars="200"/>
        <w:jc w:val="left"/>
        <w:rPr>
          <w:rFonts w:hint="default" w:ascii="Calibri" w:hAnsi="Calibri" w:eastAsia="仿宋" w:cs="Calibri"/>
          <w:b/>
          <w:bCs/>
          <w:color w:val="333333"/>
          <w:kern w:val="0"/>
          <w:sz w:val="24"/>
          <w:u w:val="single"/>
        </w:rPr>
      </w:pPr>
      <w:r>
        <w:rPr>
          <w:rFonts w:hint="eastAsia" w:ascii="Calibri" w:hAnsi="Calibri" w:eastAsia="仿宋" w:cs="Calibri"/>
          <w:b w:val="0"/>
          <w:bCs w:val="0"/>
          <w:color w:val="333333"/>
          <w:kern w:val="0"/>
          <w:sz w:val="24"/>
          <w:u w:val="single"/>
          <w:lang w:val="en-US" w:eastAsia="zh-CN"/>
        </w:rPr>
        <w:t>第二优先权：</w:t>
      </w:r>
      <w:r>
        <w:rPr>
          <w:rFonts w:hint="eastAsia" w:ascii="Calibri" w:hAnsi="Calibri" w:eastAsia="仿宋" w:cs="Calibri"/>
          <w:b w:val="0"/>
          <w:bCs w:val="0"/>
          <w:color w:val="333333"/>
          <w:kern w:val="0"/>
          <w:sz w:val="24"/>
        </w:rPr>
        <w:t>获</w:t>
      </w:r>
      <w:r>
        <w:rPr>
          <w:rFonts w:hint="eastAsia" w:ascii="Calibri" w:hAnsi="Calibri" w:eastAsia="仿宋" w:cs="Calibri"/>
          <w:color w:val="333333"/>
          <w:kern w:val="0"/>
          <w:sz w:val="24"/>
        </w:rPr>
        <w:t>得校级以上（含校级）优秀硕士学位论文。</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w:t>
      </w:r>
      <w:r>
        <w:rPr>
          <w:rFonts w:hint="eastAsia" w:ascii="Calibri" w:hAnsi="Calibri" w:eastAsia="仿宋" w:cs="Calibri"/>
          <w:color w:val="333333"/>
          <w:kern w:val="0"/>
          <w:sz w:val="24"/>
          <w:lang w:val="en-US" w:eastAsia="zh-CN"/>
        </w:rPr>
        <w:t>三</w:t>
      </w:r>
      <w:r>
        <w:rPr>
          <w:rFonts w:hint="eastAsia" w:ascii="Calibri" w:hAnsi="Calibri" w:eastAsia="仿宋" w:cs="Calibri"/>
          <w:color w:val="333333"/>
          <w:kern w:val="0"/>
          <w:sz w:val="24"/>
        </w:rPr>
        <w:t>优先权：有创新能力，获得国家发明专利或在省级以上学科竞赛中获奖。</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w:t>
      </w:r>
      <w:r>
        <w:rPr>
          <w:rFonts w:hint="eastAsia" w:ascii="Calibri" w:hAnsi="Calibri" w:eastAsia="仿宋" w:cs="Calibri"/>
          <w:color w:val="333333"/>
          <w:kern w:val="0"/>
          <w:sz w:val="24"/>
          <w:lang w:val="en-US" w:eastAsia="zh-CN"/>
        </w:rPr>
        <w:t>四</w:t>
      </w:r>
      <w:r>
        <w:rPr>
          <w:rFonts w:hint="eastAsia" w:ascii="Calibri" w:hAnsi="Calibri" w:eastAsia="仿宋" w:cs="Calibri"/>
          <w:color w:val="333333"/>
          <w:kern w:val="0"/>
          <w:sz w:val="24"/>
        </w:rPr>
        <w:t>优先权：硕博连读考生和申请审核制考生在硕士阶段学习成绩优异，获得校级以上（含校级）奖学金。（鉴于目前都属于硕博连读考生或申请审核制考生，且学业奖学金已实现全覆盖，所以只有获得过校级一等学业奖学金、省级或国家级奖学金者才符合该条件）</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u w:val="single"/>
        </w:rPr>
        <w:t>注：一等奖优先条件中所提到的收录的</w:t>
      </w:r>
      <w:r>
        <w:rPr>
          <w:rFonts w:hint="eastAsia" w:ascii="Calibri" w:hAnsi="Calibri" w:eastAsia="仿宋" w:cs="Calibri"/>
          <w:color w:val="333333"/>
          <w:kern w:val="0"/>
          <w:sz w:val="24"/>
          <w:u w:val="single"/>
          <w:lang w:val="en-US" w:eastAsia="zh-CN"/>
        </w:rPr>
        <w:t>T1、T2类</w:t>
      </w:r>
      <w:r>
        <w:rPr>
          <w:rFonts w:hint="eastAsia" w:ascii="Calibri" w:hAnsi="Calibri" w:eastAsia="仿宋" w:cs="Calibri"/>
          <w:color w:val="333333"/>
          <w:kern w:val="0"/>
          <w:sz w:val="24"/>
          <w:u w:val="single"/>
        </w:rPr>
        <w:t>正式刊物论文，</w:t>
      </w:r>
      <w:r>
        <w:rPr>
          <w:rFonts w:hint="eastAsia" w:ascii="Calibri" w:hAnsi="Calibri" w:eastAsia="仿宋" w:cs="Calibri"/>
          <w:color w:val="333333"/>
          <w:kern w:val="0"/>
          <w:sz w:val="24"/>
          <w:u w:val="single"/>
        </w:rPr>
        <w:t>以学校相关政策和图书馆提供的最新证明为准</w:t>
      </w:r>
      <w:r>
        <w:rPr>
          <w:rFonts w:hint="eastAsia" w:ascii="Calibri" w:hAnsi="Calibri" w:eastAsia="仿宋" w:cs="Calibri"/>
          <w:color w:val="333333"/>
          <w:kern w:val="0"/>
          <w:sz w:val="24"/>
          <w:u w:val="single"/>
        </w:rPr>
        <w:t>。授权品种权可等同发明专利的条件，发明专利（品种权）原则上以国家公布时间为准，鉴于批准周期长的原因，发明专利（品种权）可以参考收到实审通知时间；实用新型、外观设计专利以专利授权公布时间为准。学科竞赛，一般指由政府部门、机关单位、党团组织、国家一级行业学会或协会举办的</w:t>
      </w:r>
      <w:r>
        <w:rPr>
          <w:rFonts w:hint="eastAsia" w:ascii="Calibri" w:hAnsi="Calibri" w:eastAsia="仿宋" w:cs="Calibri"/>
          <w:color w:val="333333"/>
          <w:kern w:val="0"/>
          <w:sz w:val="24"/>
          <w:u w:val="single"/>
          <w:lang w:val="en-US" w:eastAsia="zh-CN"/>
        </w:rPr>
        <w:t>植保</w:t>
      </w:r>
      <w:r>
        <w:rPr>
          <w:rFonts w:hint="eastAsia" w:ascii="Calibri" w:hAnsi="Calibri" w:eastAsia="仿宋" w:cs="Calibri"/>
          <w:color w:val="333333"/>
          <w:kern w:val="0"/>
          <w:sz w:val="24"/>
          <w:u w:val="single"/>
        </w:rPr>
        <w:t>、生物</w:t>
      </w:r>
      <w:r>
        <w:rPr>
          <w:rFonts w:hint="eastAsia" w:ascii="Calibri" w:hAnsi="Calibri" w:eastAsia="仿宋" w:cs="Calibri"/>
          <w:color w:val="333333"/>
          <w:kern w:val="0"/>
          <w:sz w:val="24"/>
          <w:u w:val="single"/>
          <w:lang w:val="en-US" w:eastAsia="zh-CN"/>
        </w:rPr>
        <w:t>等</w:t>
      </w:r>
      <w:r>
        <w:rPr>
          <w:rFonts w:hint="eastAsia" w:ascii="Calibri" w:hAnsi="Calibri" w:eastAsia="仿宋" w:cs="Calibri"/>
          <w:color w:val="333333"/>
          <w:kern w:val="0"/>
          <w:sz w:val="24"/>
          <w:u w:val="single"/>
        </w:rPr>
        <w:t>相关的竞赛。以上发表论文、专利、学科竞赛等，参评者须排名第一方为有效（若论文出现共同第一作者的情况，仅排名第一有效</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lang w:val="en-US" w:eastAsia="zh-CN"/>
        </w:rPr>
        <w:t>专利排名不含老师</w:t>
      </w:r>
      <w:r>
        <w:rPr>
          <w:rFonts w:hint="eastAsia" w:ascii="Calibri" w:hAnsi="Calibri" w:eastAsia="仿宋" w:cs="Calibri"/>
          <w:color w:val="333333"/>
          <w:kern w:val="0"/>
          <w:sz w:val="24"/>
          <w:u w:val="single"/>
        </w:rPr>
        <w:t>），研究成果应为硕士期间至参评当年度8月31日</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lang w:val="en-US" w:eastAsia="zh-CN"/>
        </w:rPr>
        <w:t>含</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rPr>
        <w:t>前所获得的研究成果</w:t>
      </w:r>
      <w:r>
        <w:rPr>
          <w:rFonts w:hint="eastAsia" w:ascii="Calibri" w:hAnsi="Calibri" w:eastAsia="仿宋" w:cs="Calibri"/>
          <w:color w:val="333333"/>
          <w:kern w:val="0"/>
          <w:sz w:val="24"/>
        </w:rPr>
        <w:t>。</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（2）评选办法</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①组织“符合一等奖优先条件”的博士生进行评选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若“符合一等奖优先条件”博士生人数不超过一等奖获奖指标，则这部分博士生全部定为一等奖。若“符合一等奖优先条件”博士生人数已超出一等奖获奖指标，则先对这部分博士生进行排序，再择优确定一等奖获得者，具体程序为：</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一步，按照每位博士生具备的最高优先权条件进行排序。具备第一优先权的排最前，不具备第一优先权但具备第二优先权的紧随其后，以此类推。若具备的最高优先条件是相同的，则观察是否具备次一级优先权，具备者名次靠前；若次一级优先权情况依然相同，则继续再比较下一级优先权，以此类推。若出现各项优先权条件是完全相同的博士生，如需进行排序，则参考本办法中的科学研究加分规则</w:t>
      </w:r>
      <w:r>
        <w:rPr>
          <w:rFonts w:hint="eastAsia" w:ascii="Calibri" w:hAnsi="Calibri" w:eastAsia="仿宋" w:cs="Calibri"/>
          <w:color w:val="333333"/>
          <w:kern w:val="0"/>
          <w:sz w:val="24"/>
          <w:lang w:eastAsia="zh-CN"/>
        </w:rPr>
        <w:t>（</w:t>
      </w:r>
      <w:r>
        <w:rPr>
          <w:rFonts w:hint="eastAsia" w:ascii="Calibri" w:hAnsi="Calibri" w:eastAsia="仿宋" w:cs="Calibri"/>
          <w:color w:val="333333"/>
          <w:kern w:val="0"/>
          <w:sz w:val="24"/>
        </w:rPr>
        <w:t>即“五、评选项目及评分标准”→“（二）老生学业奖学金和国家奖学金评选” →“2.常规获奖指标的评选”</w:t>
      </w:r>
      <w:r>
        <w:rPr>
          <w:rFonts w:ascii="Calibri" w:hAnsi="Calibri" w:eastAsia="仿宋" w:cs="Calibri"/>
          <w:color w:val="333333"/>
          <w:kern w:val="0"/>
          <w:sz w:val="24"/>
        </w:rPr>
        <w:t> </w:t>
      </w:r>
      <w:r>
        <w:rPr>
          <w:rFonts w:hint="eastAsia" w:ascii="Calibri" w:hAnsi="Calibri" w:eastAsia="仿宋" w:cs="Calibri"/>
          <w:color w:val="333333"/>
          <w:kern w:val="0"/>
          <w:sz w:val="24"/>
        </w:rPr>
        <w:t>→“（2）具体评选项目”</w:t>
      </w:r>
      <w:r>
        <w:rPr>
          <w:rFonts w:ascii="Calibri" w:hAnsi="Calibri" w:eastAsia="仿宋" w:cs="Calibri"/>
          <w:color w:val="333333"/>
          <w:kern w:val="0"/>
          <w:sz w:val="24"/>
        </w:rPr>
        <w:t> </w:t>
      </w:r>
      <w:r>
        <w:rPr>
          <w:rFonts w:hint="eastAsia" w:ascii="Calibri" w:hAnsi="Calibri" w:eastAsia="仿宋" w:cs="Calibri"/>
          <w:color w:val="333333"/>
          <w:kern w:val="0"/>
          <w:sz w:val="24"/>
        </w:rPr>
        <w:t>→②科学研究（B）</w:t>
      </w:r>
      <w:r>
        <w:rPr>
          <w:rFonts w:hint="eastAsia" w:ascii="Calibri" w:hAnsi="Calibri" w:eastAsia="仿宋" w:cs="Calibri"/>
          <w:color w:val="333333"/>
          <w:kern w:val="0"/>
          <w:sz w:val="24"/>
          <w:lang w:eastAsia="zh-CN"/>
        </w:rPr>
        <w:t>）</w:t>
      </w:r>
      <w:r>
        <w:rPr>
          <w:rFonts w:hint="eastAsia" w:ascii="Calibri" w:hAnsi="Calibri" w:eastAsia="仿宋" w:cs="Calibri"/>
          <w:color w:val="333333"/>
          <w:kern w:val="0"/>
          <w:sz w:val="24"/>
        </w:rPr>
        <w:t>，按照科研成果分值决定排名（此处的科学研究不包括参加学术讲座的分值）。第二步，按照以上原则进行排序后，根据排名遴选出一等奖学金名单。</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第三步，满足优先条件但没有评上一等奖的博士生，一般可直接评为二等奖（若这部分人数也超出二等奖指标，则按排序择优确定二等奖获得者）。</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②组织“未符合一等奖优先条件”的博士生进行评选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上述结束后，再组织“未符合一等奖优先条件”的博士生评出余下的各级奖学金。根据博士生提交的申请材料，计算科研成果分值（参考上述第①个程序的计算方法），按照科研成果分值决定排名和确定获奖等次。</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在①和②评选过程，若按照以上规则仍然无法确定排名的，则根据新生入学考试成绩进行排序；若条件仍然相同，则由学院研究生奖学金评审委员会讨论决定最终排序。</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（二）老生学业奖学金和国家奖学金评选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1.优先获奖的评选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（1）学业一等奖学金</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u w:val="single"/>
        </w:rPr>
        <w:t>以第一作者发表</w:t>
      </w:r>
      <w:r>
        <w:rPr>
          <w:rFonts w:hint="eastAsia" w:ascii="Calibri" w:hAnsi="Calibri" w:eastAsia="仿宋" w:cs="Calibri"/>
          <w:color w:val="333333"/>
          <w:kern w:val="0"/>
          <w:sz w:val="24"/>
          <w:u w:val="single"/>
          <w:lang w:val="en-US" w:eastAsia="zh-CN"/>
        </w:rPr>
        <w:t>T1</w:t>
      </w:r>
      <w:r>
        <w:rPr>
          <w:rFonts w:hint="eastAsia" w:ascii="Calibri" w:hAnsi="Calibri" w:eastAsia="仿宋" w:cs="Calibri"/>
          <w:color w:val="333333"/>
          <w:kern w:val="0"/>
          <w:sz w:val="24"/>
          <w:u w:val="single"/>
        </w:rPr>
        <w:t>、</w:t>
      </w:r>
      <w:r>
        <w:rPr>
          <w:rFonts w:hint="eastAsia" w:ascii="Calibri" w:hAnsi="Calibri" w:eastAsia="仿宋" w:cs="Calibri"/>
          <w:color w:val="333333"/>
          <w:kern w:val="0"/>
          <w:sz w:val="24"/>
          <w:u w:val="single"/>
          <w:lang w:val="en-US" w:eastAsia="zh-CN"/>
        </w:rPr>
        <w:t>T2</w:t>
      </w:r>
      <w:r>
        <w:rPr>
          <w:rFonts w:hint="eastAsia" w:ascii="Calibri" w:hAnsi="Calibri" w:eastAsia="仿宋" w:cs="Calibri"/>
          <w:color w:val="333333"/>
          <w:kern w:val="0"/>
          <w:sz w:val="24"/>
          <w:u w:val="single"/>
        </w:rPr>
        <w:t>或</w:t>
      </w:r>
      <w:r>
        <w:rPr>
          <w:rFonts w:hint="eastAsia" w:ascii="Calibri" w:hAnsi="Calibri" w:eastAsia="仿宋" w:cs="Calibri"/>
          <w:color w:val="333333"/>
          <w:kern w:val="0"/>
          <w:sz w:val="24"/>
          <w:u w:val="single"/>
          <w:lang w:val="en-US" w:eastAsia="zh-CN"/>
        </w:rPr>
        <w:t>A类</w:t>
      </w:r>
      <w:r>
        <w:rPr>
          <w:rFonts w:hint="eastAsia" w:ascii="Calibri" w:hAnsi="Calibri" w:eastAsia="仿宋" w:cs="Calibri"/>
          <w:color w:val="333333"/>
          <w:kern w:val="0"/>
          <w:sz w:val="24"/>
          <w:u w:val="single"/>
        </w:rPr>
        <w:t>学术论文的硕士生，可优先申请学业奖学金一等奖。以第一作者发表</w:t>
      </w:r>
      <w:r>
        <w:rPr>
          <w:rFonts w:hint="eastAsia" w:ascii="Calibri" w:hAnsi="Calibri" w:eastAsia="仿宋" w:cs="Calibri"/>
          <w:color w:val="333333"/>
          <w:kern w:val="0"/>
          <w:sz w:val="24"/>
          <w:u w:val="single"/>
          <w:lang w:val="en-US" w:eastAsia="zh-CN"/>
        </w:rPr>
        <w:t>T1</w:t>
      </w:r>
      <w:r>
        <w:rPr>
          <w:rFonts w:hint="eastAsia" w:ascii="Calibri" w:hAnsi="Calibri" w:eastAsia="仿宋" w:cs="Calibri"/>
          <w:color w:val="333333"/>
          <w:kern w:val="0"/>
          <w:sz w:val="24"/>
          <w:u w:val="single"/>
        </w:rPr>
        <w:t>、</w:t>
      </w:r>
      <w:r>
        <w:rPr>
          <w:rFonts w:hint="eastAsia" w:ascii="Calibri" w:hAnsi="Calibri" w:eastAsia="仿宋" w:cs="Calibri"/>
          <w:color w:val="333333"/>
          <w:kern w:val="0"/>
          <w:sz w:val="24"/>
          <w:u w:val="single"/>
          <w:lang w:val="en-US" w:eastAsia="zh-CN"/>
        </w:rPr>
        <w:t>T2类</w:t>
      </w:r>
      <w:r>
        <w:rPr>
          <w:rFonts w:hint="eastAsia" w:ascii="Calibri" w:hAnsi="Calibri" w:eastAsia="仿宋" w:cs="Calibri"/>
          <w:color w:val="333333"/>
          <w:kern w:val="0"/>
          <w:sz w:val="24"/>
          <w:u w:val="single"/>
        </w:rPr>
        <w:t>学术论文的博士生，可优先申请学业奖学金一等奖。以上所提到的第一作者，若出现共同第一作者的情况，仅排名第一有效。</w:t>
      </w:r>
      <w:r>
        <w:rPr>
          <w:rFonts w:hint="eastAsia" w:ascii="Calibri" w:hAnsi="Calibri" w:eastAsia="仿宋" w:cs="Calibri"/>
          <w:color w:val="333333"/>
          <w:kern w:val="0"/>
          <w:sz w:val="24"/>
        </w:rPr>
        <w:t>若申请者不超过预定获奖指标，则全部定为学业一等奖学金获得者；若申请者超过预定获奖指标，则参考本办法中的论文加分规则（即“五、评选项目及评分标准”→“（二）老生学业奖学金和国家奖学金评选” →“2.常规获奖指标的评选”</w:t>
      </w:r>
      <w:r>
        <w:rPr>
          <w:rFonts w:ascii="Calibri" w:hAnsi="Calibri" w:eastAsia="仿宋" w:cs="Calibri"/>
          <w:color w:val="333333"/>
          <w:kern w:val="0"/>
          <w:sz w:val="24"/>
        </w:rPr>
        <w:t> </w:t>
      </w:r>
      <w:r>
        <w:rPr>
          <w:rFonts w:hint="eastAsia" w:ascii="Calibri" w:hAnsi="Calibri" w:eastAsia="仿宋" w:cs="Calibri"/>
          <w:color w:val="333333"/>
          <w:kern w:val="0"/>
          <w:sz w:val="24"/>
        </w:rPr>
        <w:t>→“（2）具体评选项目”</w:t>
      </w:r>
      <w:r>
        <w:rPr>
          <w:rFonts w:ascii="Calibri" w:hAnsi="Calibri" w:eastAsia="仿宋" w:cs="Calibri"/>
          <w:color w:val="333333"/>
          <w:kern w:val="0"/>
          <w:sz w:val="24"/>
        </w:rPr>
        <w:t> </w:t>
      </w:r>
      <w:r>
        <w:rPr>
          <w:rFonts w:hint="eastAsia" w:ascii="Calibri" w:hAnsi="Calibri" w:eastAsia="仿宋" w:cs="Calibri"/>
          <w:color w:val="333333"/>
          <w:kern w:val="0"/>
          <w:sz w:val="24"/>
        </w:rPr>
        <w:t>→②科学研究（B）→【发表论文】），只计算第一作者的分值，按分数从高到低确定一等奖学金名单，分数较低未能优先确定为一等奖的，则纳入常规获奖指标的评选。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（2）国家奖学金</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u w:val="single"/>
        </w:rPr>
        <w:t>以第一作者在</w:t>
      </w:r>
      <w:r>
        <w:rPr>
          <w:rFonts w:hint="eastAsia" w:ascii="Calibri" w:hAnsi="Calibri" w:eastAsia="仿宋" w:cs="Calibri"/>
          <w:color w:val="333333"/>
          <w:kern w:val="0"/>
          <w:sz w:val="24"/>
          <w:u w:val="single"/>
          <w:lang w:val="en-US" w:eastAsia="zh-CN"/>
        </w:rPr>
        <w:t>T1、T2类</w:t>
      </w:r>
      <w:r>
        <w:rPr>
          <w:rFonts w:hint="eastAsia" w:ascii="Calibri" w:hAnsi="Calibri" w:eastAsia="仿宋" w:cs="Calibri"/>
          <w:color w:val="333333"/>
          <w:kern w:val="0"/>
          <w:sz w:val="24"/>
          <w:u w:val="single"/>
        </w:rPr>
        <w:t>发表学术论文的硕士生和博士生，可优先申请国家奖学金。若出现共同第一作者的情况，仅排名第一有效</w:t>
      </w:r>
      <w:r>
        <w:rPr>
          <w:rFonts w:hint="eastAsia" w:ascii="Calibri" w:hAnsi="Calibri" w:eastAsia="仿宋" w:cs="Calibri"/>
          <w:color w:val="333333"/>
          <w:kern w:val="0"/>
          <w:sz w:val="24"/>
        </w:rPr>
        <w:t>。若申请者不超过预定获奖指标，则全部定为国家奖学金获得者；若申请者超过预定获奖指标，则参考本办法中的论文加分规则（即“五、评选项目及评分标准”→“（二）老生学业奖学金和国家奖学金评选” →“2.常规获奖指标的评选”</w:t>
      </w:r>
      <w:r>
        <w:rPr>
          <w:rFonts w:ascii="Calibri" w:hAnsi="Calibri" w:eastAsia="仿宋" w:cs="Calibri"/>
          <w:color w:val="333333"/>
          <w:kern w:val="0"/>
          <w:sz w:val="24"/>
        </w:rPr>
        <w:t> </w:t>
      </w:r>
      <w:r>
        <w:rPr>
          <w:rFonts w:hint="eastAsia" w:ascii="Calibri" w:hAnsi="Calibri" w:eastAsia="仿宋" w:cs="Calibri"/>
          <w:color w:val="333333"/>
          <w:kern w:val="0"/>
          <w:sz w:val="24"/>
        </w:rPr>
        <w:t>→“（2）具体评选项目”</w:t>
      </w:r>
      <w:r>
        <w:rPr>
          <w:rFonts w:ascii="Calibri" w:hAnsi="Calibri" w:eastAsia="仿宋" w:cs="Calibri"/>
          <w:color w:val="333333"/>
          <w:kern w:val="0"/>
          <w:sz w:val="24"/>
        </w:rPr>
        <w:t> </w:t>
      </w:r>
      <w:r>
        <w:rPr>
          <w:rFonts w:hint="eastAsia" w:ascii="Calibri" w:hAnsi="Calibri" w:eastAsia="仿宋" w:cs="Calibri"/>
          <w:color w:val="333333"/>
          <w:kern w:val="0"/>
          <w:sz w:val="24"/>
        </w:rPr>
        <w:t>→②科学研究（B）→【发表论文】），只计算第一作者的分值，按分数从高到低确定国家奖学金名单，分数较低未能优先确定为国家奖学金获得者的，则纳入常规获奖指标的评选。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2.常规获奖的评选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（1）评选办法</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未能获得优先推荐获奖的全体研究生，都可参加常规获奖的评选，并先进行综合测评，再评选学业奖学金和国家奖学金。硕士研究生综合测评基准分的满分为100分，具体包括学习成绩(A)占30分、科学研究(B)占50分、思想道德与社会实践(C)占20分、扣分（D）四个方面。博士研究生综合测评基准分的满分为100分，具体包括学习成绩(A)占10分、科学研究(B)占70分、思想道德与社会实践(C)占20分、扣分（D）四个方面。</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以上常规获奖指标评选的分数计算，均保留4位小数（小数点后第4位做四舍五入处理）。在评选中进行名次排序时，若出现分值相同的且处于两个不同等级奖学金分界线处的研究生，“科学研究”分值高的排前面；若“科学研究”分也相同，“学习成绩”分值高的排前面；若学习成绩、科学研究、思想道德与社会实践三个方面的分值都相同，则由学院研究生奖学金评审委员会研究讨论决定最终排名。</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（2）具体评选项目</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①学习成绩（A）</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硕士研究生学习成绩满分为30分；博士研究生学习成绩满分为10分。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计算公式为：硕士研究生学习成绩得分=入学以来所有课程的算术平均分* 30%；博士研究生学习成绩得分=入学以来所有课程的算术平均分* 10%；。</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②科学研究（B）</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p>
    <w:tbl>
      <w:tblPr>
        <w:tblStyle w:val="13"/>
        <w:tblW w:w="35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2"/>
        <w:gridCol w:w="1084"/>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研究生科学研究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硕士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自评分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成果分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70分</w:t>
            </w:r>
          </w:p>
        </w:tc>
      </w:tr>
    </w:tbl>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r>
        <w:rPr>
          <w:rFonts w:hint="eastAsia" w:ascii="Calibri" w:hAnsi="Calibri" w:eastAsia="仿宋" w:cs="Calibri"/>
          <w:color w:val="333333"/>
          <w:kern w:val="0"/>
          <w:sz w:val="24"/>
        </w:rPr>
        <w:t>科研成果主要包括以下几个方面：</w:t>
      </w:r>
    </w:p>
    <w:p>
      <w:pPr>
        <w:widowControl/>
        <w:shd w:val="clear" w:color="auto" w:fill="FFFFFF"/>
        <w:spacing w:line="360" w:lineRule="atLeast"/>
        <w:ind w:right="720" w:firstLine="480" w:firstLineChars="200"/>
        <w:jc w:val="left"/>
        <w:rPr>
          <w:rFonts w:ascii="Calibri" w:hAnsi="Calibri" w:eastAsia="仿宋" w:cs="Calibri"/>
          <w:color w:val="333333"/>
          <w:kern w:val="0"/>
          <w:sz w:val="24"/>
          <w:u w:val="single"/>
        </w:rPr>
      </w:pPr>
      <w:r>
        <w:rPr>
          <w:rFonts w:hint="eastAsia" w:ascii="Calibri" w:hAnsi="Calibri" w:eastAsia="仿宋" w:cs="Calibri"/>
          <w:color w:val="333333"/>
          <w:kern w:val="0"/>
          <w:sz w:val="24"/>
          <w:u w:val="single"/>
        </w:rPr>
        <w:t>【发表论文】</w:t>
      </w:r>
    </w:p>
    <w:p>
      <w:pPr>
        <w:widowControl/>
        <w:shd w:val="clear" w:color="auto" w:fill="FFFFFF"/>
        <w:spacing w:line="360" w:lineRule="atLeast"/>
        <w:ind w:right="720" w:firstLine="480" w:firstLineChars="200"/>
        <w:jc w:val="left"/>
        <w:rPr>
          <w:rFonts w:ascii="Calibri" w:hAnsi="Calibri" w:eastAsia="仿宋" w:cs="Calibri"/>
          <w:color w:val="333333"/>
          <w:kern w:val="0"/>
          <w:sz w:val="24"/>
          <w:u w:val="single"/>
        </w:rPr>
      </w:pPr>
      <w:r>
        <w:rPr>
          <w:rFonts w:hint="eastAsia" w:ascii="Calibri" w:hAnsi="Calibri" w:eastAsia="仿宋" w:cs="Calibri"/>
          <w:color w:val="333333"/>
          <w:kern w:val="0"/>
          <w:sz w:val="24"/>
          <w:u w:val="single"/>
        </w:rPr>
        <w:t>*</w:t>
      </w:r>
      <w:r>
        <w:rPr>
          <w:rFonts w:hint="eastAsia" w:ascii="Calibri" w:hAnsi="Calibri" w:eastAsia="仿宋" w:cs="Calibri"/>
          <w:color w:val="333333"/>
          <w:kern w:val="0"/>
          <w:sz w:val="24"/>
          <w:u w:val="single"/>
          <w:lang w:val="en-US" w:eastAsia="zh-CN"/>
        </w:rPr>
        <w:t>T1类</w:t>
      </w:r>
      <w:r>
        <w:rPr>
          <w:rFonts w:hint="eastAsia" w:ascii="Calibri" w:hAnsi="Calibri" w:eastAsia="仿宋" w:cs="Calibri"/>
          <w:color w:val="333333"/>
          <w:kern w:val="0"/>
          <w:sz w:val="24"/>
          <w:u w:val="single"/>
        </w:rPr>
        <w:t>论文，</w:t>
      </w:r>
      <w:r>
        <w:rPr>
          <w:rFonts w:hint="eastAsia" w:ascii="Calibri" w:hAnsi="Calibri" w:eastAsia="仿宋" w:cs="Calibri"/>
          <w:color w:val="333333"/>
          <w:kern w:val="0"/>
          <w:sz w:val="24"/>
          <w:highlight w:val="none"/>
          <w:u w:val="single"/>
          <w:lang w:val="en-US" w:eastAsia="zh-CN"/>
        </w:rPr>
        <w:t>硕士生40分</w:t>
      </w:r>
      <w:r>
        <w:rPr>
          <w:rFonts w:hint="eastAsia" w:ascii="Calibri" w:hAnsi="Calibri" w:eastAsia="仿宋" w:cs="Calibri"/>
          <w:color w:val="333333"/>
          <w:kern w:val="0"/>
          <w:sz w:val="24"/>
          <w:u w:val="single"/>
        </w:rPr>
        <w:t>/篇</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lang w:val="en-US" w:eastAsia="zh-CN"/>
        </w:rPr>
        <w:t>博士生60分/篇</w:t>
      </w:r>
      <w:r>
        <w:rPr>
          <w:rFonts w:hint="eastAsia" w:ascii="Calibri" w:hAnsi="Calibri" w:eastAsia="仿宋" w:cs="Calibri"/>
          <w:color w:val="333333"/>
          <w:kern w:val="0"/>
          <w:sz w:val="24"/>
          <w:u w:val="single"/>
          <w:lang w:eastAsia="zh-CN"/>
        </w:rPr>
        <w:t>。</w:t>
      </w:r>
    </w:p>
    <w:p>
      <w:pPr>
        <w:widowControl/>
        <w:shd w:val="clear" w:color="auto" w:fill="FFFFFF"/>
        <w:spacing w:line="360" w:lineRule="atLeast"/>
        <w:ind w:right="720" w:firstLine="480" w:firstLineChars="200"/>
        <w:jc w:val="left"/>
        <w:rPr>
          <w:rFonts w:ascii="Calibri" w:hAnsi="Calibri" w:eastAsia="仿宋" w:cs="Calibri"/>
          <w:color w:val="333333"/>
          <w:kern w:val="0"/>
          <w:sz w:val="24"/>
          <w:u w:val="single"/>
        </w:rPr>
      </w:pPr>
      <w:r>
        <w:rPr>
          <w:rFonts w:hint="eastAsia" w:ascii="Calibri" w:hAnsi="Calibri" w:eastAsia="仿宋" w:cs="Calibri"/>
          <w:color w:val="333333"/>
          <w:kern w:val="0"/>
          <w:sz w:val="24"/>
          <w:u w:val="single"/>
        </w:rPr>
        <w:t>*</w:t>
      </w:r>
      <w:r>
        <w:rPr>
          <w:rFonts w:hint="eastAsia" w:ascii="Calibri" w:hAnsi="Calibri" w:eastAsia="仿宋" w:cs="Calibri"/>
          <w:color w:val="333333"/>
          <w:kern w:val="0"/>
          <w:sz w:val="24"/>
          <w:u w:val="single"/>
          <w:lang w:val="en-US" w:eastAsia="zh-CN"/>
        </w:rPr>
        <w:t>T2类</w:t>
      </w:r>
      <w:r>
        <w:rPr>
          <w:rFonts w:hint="eastAsia" w:ascii="Calibri" w:hAnsi="Calibri" w:eastAsia="仿宋" w:cs="Calibri"/>
          <w:color w:val="333333"/>
          <w:kern w:val="0"/>
          <w:sz w:val="24"/>
          <w:u w:val="single"/>
        </w:rPr>
        <w:t>论文，</w:t>
      </w:r>
      <w:r>
        <w:rPr>
          <w:rFonts w:hint="eastAsia" w:ascii="Calibri" w:hAnsi="Calibri" w:eastAsia="仿宋" w:cs="Calibri"/>
          <w:color w:val="333333"/>
          <w:kern w:val="0"/>
          <w:sz w:val="24"/>
          <w:u w:val="single"/>
          <w:lang w:val="en-US" w:eastAsia="zh-CN"/>
        </w:rPr>
        <w:t>基础分16</w:t>
      </w:r>
      <w:r>
        <w:rPr>
          <w:rFonts w:hint="eastAsia" w:ascii="Calibri" w:hAnsi="Calibri" w:eastAsia="仿宋" w:cs="Calibri"/>
          <w:color w:val="333333"/>
          <w:kern w:val="0"/>
          <w:sz w:val="24"/>
          <w:u w:val="single"/>
        </w:rPr>
        <w:t>分/篇</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rPr>
        <w:t>如影响因子（IF）大于或等于</w:t>
      </w:r>
      <w:r>
        <w:rPr>
          <w:rFonts w:hint="eastAsia" w:ascii="Calibri" w:hAnsi="Calibri" w:eastAsia="仿宋" w:cs="Calibri"/>
          <w:color w:val="333333"/>
          <w:kern w:val="0"/>
          <w:sz w:val="24"/>
          <w:u w:val="single"/>
          <w:lang w:val="en-US" w:eastAsia="zh-CN"/>
        </w:rPr>
        <w:t>3</w:t>
      </w:r>
      <w:r>
        <w:rPr>
          <w:rFonts w:hint="eastAsia" w:ascii="Calibri" w:hAnsi="Calibri" w:eastAsia="仿宋" w:cs="Calibri"/>
          <w:color w:val="333333"/>
          <w:kern w:val="0"/>
          <w:sz w:val="24"/>
          <w:u w:val="single"/>
        </w:rPr>
        <w:t>的</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rPr>
        <w:t>16+（IF-</w:t>
      </w:r>
      <w:r>
        <w:rPr>
          <w:rFonts w:hint="eastAsia" w:ascii="Calibri" w:hAnsi="Calibri" w:eastAsia="仿宋" w:cs="Calibri"/>
          <w:color w:val="333333"/>
          <w:kern w:val="0"/>
          <w:sz w:val="24"/>
          <w:u w:val="single"/>
          <w:lang w:val="en-US" w:eastAsia="zh-CN"/>
        </w:rPr>
        <w:t>3</w:t>
      </w:r>
      <w:r>
        <w:rPr>
          <w:rFonts w:hint="eastAsia" w:ascii="Calibri" w:hAnsi="Calibri" w:eastAsia="仿宋" w:cs="Calibri"/>
          <w:color w:val="333333"/>
          <w:kern w:val="0"/>
          <w:sz w:val="24"/>
          <w:u w:val="single"/>
        </w:rPr>
        <w:t>）*2分/篇</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rPr>
        <w:t>如影响因子（IF）</w:t>
      </w:r>
      <w:r>
        <w:rPr>
          <w:rFonts w:hint="eastAsia" w:ascii="Calibri" w:hAnsi="Calibri" w:eastAsia="仿宋" w:cs="Calibri"/>
          <w:color w:val="333333"/>
          <w:kern w:val="0"/>
          <w:sz w:val="24"/>
          <w:u w:val="single"/>
          <w:lang w:val="en-US" w:eastAsia="zh-CN"/>
        </w:rPr>
        <w:t>小于3</w:t>
      </w:r>
      <w:r>
        <w:rPr>
          <w:rFonts w:hint="eastAsia" w:ascii="Calibri" w:hAnsi="Calibri" w:eastAsia="仿宋" w:cs="Calibri"/>
          <w:color w:val="333333"/>
          <w:kern w:val="0"/>
          <w:sz w:val="24"/>
          <w:u w:val="single"/>
        </w:rPr>
        <w:t>的</w:t>
      </w:r>
      <w:r>
        <w:rPr>
          <w:rFonts w:hint="eastAsia" w:ascii="Calibri" w:hAnsi="Calibri" w:eastAsia="仿宋" w:cs="Calibri"/>
          <w:color w:val="333333"/>
          <w:kern w:val="0"/>
          <w:sz w:val="24"/>
          <w:u w:val="single"/>
          <w:lang w:val="en-US" w:eastAsia="zh-CN"/>
        </w:rPr>
        <w:t>16</w:t>
      </w:r>
      <w:r>
        <w:rPr>
          <w:rFonts w:hint="eastAsia" w:ascii="Calibri" w:hAnsi="Calibri" w:eastAsia="仿宋" w:cs="Calibri"/>
          <w:color w:val="333333"/>
          <w:kern w:val="0"/>
          <w:sz w:val="24"/>
          <w:u w:val="single"/>
        </w:rPr>
        <w:t>分/篇</w:t>
      </w:r>
      <w:r>
        <w:rPr>
          <w:rFonts w:hint="eastAsia" w:ascii="Calibri" w:hAnsi="Calibri" w:eastAsia="仿宋" w:cs="Calibri"/>
          <w:color w:val="333333"/>
          <w:kern w:val="0"/>
          <w:sz w:val="24"/>
          <w:u w:val="single"/>
        </w:rPr>
        <w:t>。</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u w:val="single"/>
        </w:rPr>
      </w:pPr>
      <w:r>
        <w:rPr>
          <w:rFonts w:hint="eastAsia" w:ascii="Calibri" w:hAnsi="Calibri" w:eastAsia="仿宋" w:cs="Calibri"/>
          <w:color w:val="333333"/>
          <w:kern w:val="0"/>
          <w:sz w:val="24"/>
          <w:u w:val="single"/>
        </w:rPr>
        <w:t>*</w:t>
      </w:r>
      <w:r>
        <w:rPr>
          <w:rFonts w:hint="eastAsia" w:ascii="Calibri" w:hAnsi="Calibri" w:eastAsia="仿宋" w:cs="Calibri"/>
          <w:color w:val="333333"/>
          <w:kern w:val="0"/>
          <w:sz w:val="24"/>
          <w:u w:val="single"/>
          <w:lang w:val="en-US" w:eastAsia="zh-CN"/>
        </w:rPr>
        <w:t>A类</w:t>
      </w:r>
      <w:r>
        <w:rPr>
          <w:rFonts w:hint="eastAsia" w:ascii="Calibri" w:hAnsi="Calibri" w:eastAsia="仿宋" w:cs="Calibri"/>
          <w:color w:val="333333"/>
          <w:kern w:val="0"/>
          <w:sz w:val="24"/>
          <w:u w:val="single"/>
        </w:rPr>
        <w:t>论文，</w:t>
      </w:r>
      <w:r>
        <w:rPr>
          <w:rFonts w:hint="eastAsia" w:ascii="Calibri" w:hAnsi="Calibri" w:eastAsia="仿宋" w:cs="Calibri"/>
          <w:color w:val="333333"/>
          <w:kern w:val="0"/>
          <w:sz w:val="24"/>
          <w:u w:val="single"/>
          <w:lang w:val="en-US" w:eastAsia="zh-CN"/>
        </w:rPr>
        <w:t>基础分12</w:t>
      </w:r>
      <w:r>
        <w:rPr>
          <w:rFonts w:hint="eastAsia" w:ascii="Calibri" w:hAnsi="Calibri" w:eastAsia="仿宋" w:cs="Calibri"/>
          <w:color w:val="333333"/>
          <w:kern w:val="0"/>
          <w:sz w:val="24"/>
          <w:u w:val="single"/>
        </w:rPr>
        <w:t>分/篇</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rPr>
        <w:t>如影响因子（IF）大于或等于</w:t>
      </w:r>
      <w:r>
        <w:rPr>
          <w:rFonts w:hint="eastAsia" w:ascii="Calibri" w:hAnsi="Calibri" w:eastAsia="仿宋" w:cs="Calibri"/>
          <w:color w:val="333333"/>
          <w:kern w:val="0"/>
          <w:sz w:val="24"/>
          <w:u w:val="single"/>
          <w:lang w:val="en-US" w:eastAsia="zh-CN"/>
        </w:rPr>
        <w:t>3</w:t>
      </w:r>
      <w:r>
        <w:rPr>
          <w:rFonts w:hint="eastAsia" w:ascii="Calibri" w:hAnsi="Calibri" w:eastAsia="仿宋" w:cs="Calibri"/>
          <w:color w:val="333333"/>
          <w:kern w:val="0"/>
          <w:sz w:val="24"/>
          <w:u w:val="single"/>
        </w:rPr>
        <w:t>的</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rPr>
        <w:t>1</w:t>
      </w:r>
      <w:r>
        <w:rPr>
          <w:rFonts w:hint="eastAsia" w:ascii="Calibri" w:hAnsi="Calibri" w:eastAsia="仿宋" w:cs="Calibri"/>
          <w:color w:val="333333"/>
          <w:kern w:val="0"/>
          <w:sz w:val="24"/>
          <w:u w:val="single"/>
          <w:lang w:val="en-US" w:eastAsia="zh-CN"/>
        </w:rPr>
        <w:t>2</w:t>
      </w:r>
      <w:r>
        <w:rPr>
          <w:rFonts w:hint="eastAsia" w:ascii="Calibri" w:hAnsi="Calibri" w:eastAsia="仿宋" w:cs="Calibri"/>
          <w:color w:val="333333"/>
          <w:kern w:val="0"/>
          <w:sz w:val="24"/>
          <w:u w:val="single"/>
        </w:rPr>
        <w:t>+（IF-</w:t>
      </w:r>
      <w:r>
        <w:rPr>
          <w:rFonts w:hint="eastAsia" w:ascii="Calibri" w:hAnsi="Calibri" w:eastAsia="仿宋" w:cs="Calibri"/>
          <w:color w:val="333333"/>
          <w:kern w:val="0"/>
          <w:sz w:val="24"/>
          <w:u w:val="single"/>
          <w:lang w:val="en-US" w:eastAsia="zh-CN"/>
        </w:rPr>
        <w:t>3</w:t>
      </w:r>
      <w:r>
        <w:rPr>
          <w:rFonts w:hint="eastAsia" w:ascii="Calibri" w:hAnsi="Calibri" w:eastAsia="仿宋" w:cs="Calibri"/>
          <w:color w:val="333333"/>
          <w:kern w:val="0"/>
          <w:sz w:val="24"/>
          <w:u w:val="single"/>
        </w:rPr>
        <w:t>）*2分/篇</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rPr>
        <w:t>如影响因子（IF）</w:t>
      </w:r>
      <w:r>
        <w:rPr>
          <w:rFonts w:hint="eastAsia" w:ascii="Calibri" w:hAnsi="Calibri" w:eastAsia="仿宋" w:cs="Calibri"/>
          <w:color w:val="333333"/>
          <w:kern w:val="0"/>
          <w:sz w:val="24"/>
          <w:u w:val="single"/>
          <w:lang w:val="en-US" w:eastAsia="zh-CN"/>
        </w:rPr>
        <w:t>小于3</w:t>
      </w:r>
      <w:r>
        <w:rPr>
          <w:rFonts w:hint="eastAsia" w:ascii="Calibri" w:hAnsi="Calibri" w:eastAsia="仿宋" w:cs="Calibri"/>
          <w:color w:val="333333"/>
          <w:kern w:val="0"/>
          <w:sz w:val="24"/>
          <w:u w:val="single"/>
        </w:rPr>
        <w:t>的</w:t>
      </w:r>
      <w:r>
        <w:rPr>
          <w:rFonts w:hint="eastAsia" w:ascii="Calibri" w:hAnsi="Calibri" w:eastAsia="仿宋" w:cs="Calibri"/>
          <w:color w:val="333333"/>
          <w:kern w:val="0"/>
          <w:sz w:val="24"/>
          <w:u w:val="single"/>
          <w:lang w:val="en-US" w:eastAsia="zh-CN"/>
        </w:rPr>
        <w:t>12</w:t>
      </w:r>
      <w:r>
        <w:rPr>
          <w:rFonts w:hint="eastAsia" w:ascii="Calibri" w:hAnsi="Calibri" w:eastAsia="仿宋" w:cs="Calibri"/>
          <w:color w:val="333333"/>
          <w:kern w:val="0"/>
          <w:sz w:val="24"/>
          <w:u w:val="single"/>
        </w:rPr>
        <w:t>分/篇。</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u w:val="single"/>
        </w:rPr>
      </w:pPr>
      <w:r>
        <w:rPr>
          <w:rFonts w:hint="eastAsia" w:ascii="Calibri" w:hAnsi="Calibri" w:eastAsia="仿宋" w:cs="Calibri"/>
          <w:color w:val="333333"/>
          <w:kern w:val="0"/>
          <w:sz w:val="24"/>
          <w:u w:val="single"/>
        </w:rPr>
        <w:t>*</w:t>
      </w:r>
      <w:r>
        <w:rPr>
          <w:rFonts w:hint="eastAsia" w:ascii="Calibri" w:hAnsi="Calibri" w:eastAsia="仿宋" w:cs="Calibri"/>
          <w:color w:val="333333"/>
          <w:kern w:val="0"/>
          <w:sz w:val="24"/>
          <w:u w:val="single"/>
          <w:lang w:val="en-US" w:eastAsia="zh-CN"/>
        </w:rPr>
        <w:t>B类论文，10分/篇。</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u w:val="single"/>
        </w:rPr>
      </w:pPr>
      <w:r>
        <w:rPr>
          <w:rFonts w:hint="eastAsia" w:ascii="Calibri" w:hAnsi="Calibri" w:eastAsia="仿宋" w:cs="Calibri"/>
          <w:color w:val="333333"/>
          <w:kern w:val="0"/>
          <w:sz w:val="24"/>
          <w:u w:val="single"/>
        </w:rPr>
        <w:t>*</w:t>
      </w:r>
      <w:r>
        <w:rPr>
          <w:rFonts w:hint="eastAsia" w:ascii="Calibri" w:hAnsi="Calibri" w:eastAsia="仿宋" w:cs="Calibri"/>
          <w:color w:val="333333"/>
          <w:kern w:val="0"/>
          <w:sz w:val="24"/>
          <w:u w:val="single"/>
          <w:lang w:val="en-US" w:eastAsia="zh-CN"/>
        </w:rPr>
        <w:t>C类论文，5分/篇，限加两篇。</w:t>
      </w:r>
    </w:p>
    <w:p>
      <w:pPr>
        <w:widowControl/>
        <w:shd w:val="clear" w:color="auto" w:fill="FFFFFF"/>
        <w:spacing w:line="360" w:lineRule="atLeast"/>
        <w:ind w:right="720" w:firstLine="480" w:firstLineChars="200"/>
        <w:jc w:val="left"/>
        <w:rPr>
          <w:rFonts w:ascii="Calibri" w:hAnsi="Calibri" w:eastAsia="仿宋" w:cs="Calibri"/>
          <w:color w:val="333333"/>
          <w:kern w:val="0"/>
          <w:sz w:val="24"/>
          <w:u w:val="single"/>
        </w:rPr>
      </w:pPr>
      <w:r>
        <w:rPr>
          <w:rFonts w:hint="eastAsia" w:ascii="Calibri" w:hAnsi="Calibri" w:eastAsia="仿宋" w:cs="Calibri"/>
          <w:color w:val="333333"/>
          <w:kern w:val="0"/>
          <w:sz w:val="24"/>
          <w:u w:val="single"/>
        </w:rPr>
        <w:t>论文所属分区以学校相关政策和图书馆提供的最新证明为准</w:t>
      </w:r>
      <w:r>
        <w:rPr>
          <w:rFonts w:hint="eastAsia" w:ascii="Calibri" w:hAnsi="Calibri" w:eastAsia="仿宋" w:cs="Calibri"/>
          <w:color w:val="333333"/>
          <w:kern w:val="0"/>
          <w:sz w:val="24"/>
          <w:u w:val="single"/>
        </w:rPr>
        <w:t>。论文以正式刊发为准（含网络在线发表）</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lang w:val="en-US" w:eastAsia="zh-CN"/>
        </w:rPr>
        <w:t>影响因子大小以图书馆出具的5年的影响因子为准</w:t>
      </w:r>
      <w:r>
        <w:rPr>
          <w:rFonts w:hint="eastAsia" w:ascii="Calibri" w:hAnsi="Calibri" w:eastAsia="仿宋" w:cs="Calibri"/>
          <w:color w:val="333333"/>
          <w:kern w:val="0"/>
          <w:sz w:val="24"/>
          <w:u w:val="single"/>
        </w:rPr>
        <w:t>。</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u w:val="single"/>
        </w:rPr>
      </w:pPr>
      <w:r>
        <w:rPr>
          <w:rFonts w:hint="eastAsia" w:ascii="Calibri" w:hAnsi="Calibri" w:eastAsia="仿宋" w:cs="Calibri"/>
          <w:color w:val="333333"/>
          <w:kern w:val="0"/>
          <w:sz w:val="24"/>
          <w:u w:val="single"/>
        </w:rPr>
        <w:t>注：以上，邮件录用通知等其他形式录用通知不予加分。论文内容须与所学专业相关，会议摘要不加分。</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u w:val="single"/>
        </w:rPr>
      </w:pPr>
      <w:r>
        <w:rPr>
          <w:rFonts w:hint="eastAsia" w:ascii="Calibri" w:hAnsi="Calibri" w:eastAsia="仿宋" w:cs="Calibri"/>
          <w:color w:val="333333"/>
          <w:kern w:val="0"/>
          <w:sz w:val="24"/>
          <w:u w:val="single"/>
          <w:lang w:val="en-US" w:eastAsia="zh-CN"/>
        </w:rPr>
        <w:t>T1类论文，第一作者和共同一作统一</w:t>
      </w:r>
      <w:r>
        <w:rPr>
          <w:rFonts w:hint="eastAsia" w:ascii="Calibri" w:hAnsi="Calibri" w:eastAsia="仿宋" w:cs="Calibri"/>
          <w:color w:val="333333"/>
          <w:kern w:val="0"/>
          <w:sz w:val="24"/>
          <w:u w:val="single"/>
        </w:rPr>
        <w:t>按100%标准加分</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rPr>
        <w:t>第二作者按</w:t>
      </w:r>
      <w:r>
        <w:rPr>
          <w:rFonts w:hint="eastAsia" w:ascii="Calibri" w:hAnsi="Calibri" w:eastAsia="仿宋" w:cs="Calibri"/>
          <w:color w:val="333333"/>
          <w:kern w:val="0"/>
          <w:sz w:val="24"/>
          <w:u w:val="single"/>
          <w:lang w:val="en-US" w:eastAsia="zh-CN"/>
        </w:rPr>
        <w:t>50</w:t>
      </w:r>
      <w:r>
        <w:rPr>
          <w:rFonts w:hint="eastAsia" w:ascii="Calibri" w:hAnsi="Calibri" w:eastAsia="仿宋" w:cs="Calibri"/>
          <w:color w:val="333333"/>
          <w:kern w:val="0"/>
          <w:sz w:val="24"/>
          <w:u w:val="single"/>
        </w:rPr>
        <w:t>%标准加分</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lang w:val="en-US" w:eastAsia="zh-CN"/>
        </w:rPr>
        <w:t>第三、第四、第五作者</w:t>
      </w:r>
      <w:r>
        <w:rPr>
          <w:rFonts w:hint="eastAsia" w:ascii="Calibri" w:hAnsi="Calibri" w:eastAsia="仿宋" w:cs="Calibri"/>
          <w:color w:val="333333"/>
          <w:kern w:val="0"/>
          <w:sz w:val="24"/>
          <w:u w:val="single"/>
        </w:rPr>
        <w:t>按</w:t>
      </w:r>
      <w:r>
        <w:rPr>
          <w:rFonts w:hint="eastAsia" w:ascii="Calibri" w:hAnsi="Calibri" w:eastAsia="仿宋" w:cs="Calibri"/>
          <w:color w:val="333333"/>
          <w:kern w:val="0"/>
          <w:sz w:val="24"/>
          <w:u w:val="single"/>
          <w:lang w:val="en-US" w:eastAsia="zh-CN"/>
        </w:rPr>
        <w:t>3</w:t>
      </w:r>
      <w:r>
        <w:rPr>
          <w:rFonts w:hint="eastAsia" w:ascii="Calibri" w:hAnsi="Calibri" w:eastAsia="仿宋" w:cs="Calibri"/>
          <w:color w:val="333333"/>
          <w:kern w:val="0"/>
          <w:sz w:val="24"/>
          <w:u w:val="single"/>
        </w:rPr>
        <w:t>0%标准加分</w:t>
      </w:r>
      <w:r>
        <w:rPr>
          <w:rFonts w:hint="eastAsia" w:ascii="Calibri" w:hAnsi="Calibri" w:eastAsia="仿宋" w:cs="Calibri"/>
          <w:color w:val="333333"/>
          <w:kern w:val="0"/>
          <w:sz w:val="24"/>
          <w:u w:val="single"/>
        </w:rPr>
        <w:t>。</w:t>
      </w:r>
      <w:r>
        <w:rPr>
          <w:rFonts w:hint="eastAsia" w:ascii="Calibri" w:hAnsi="Calibri" w:eastAsia="仿宋" w:cs="Calibri"/>
          <w:color w:val="333333"/>
          <w:kern w:val="0"/>
          <w:sz w:val="24"/>
          <w:u w:val="single"/>
        </w:rPr>
        <w:t>以非第一作者身份发表多篇论文时，非第一作者的论文只加两篇的分数。</w:t>
      </w:r>
    </w:p>
    <w:p>
      <w:pPr>
        <w:widowControl/>
        <w:shd w:val="clear" w:color="auto" w:fill="FFFFFF"/>
        <w:spacing w:line="360" w:lineRule="atLeast"/>
        <w:ind w:right="720" w:firstLine="480" w:firstLineChars="200"/>
        <w:jc w:val="left"/>
        <w:rPr>
          <w:rFonts w:hint="default" w:ascii="Calibri" w:hAnsi="Calibri" w:eastAsia="仿宋" w:cs="Calibri"/>
          <w:color w:val="333333"/>
          <w:kern w:val="0"/>
          <w:sz w:val="24"/>
          <w:u w:val="single"/>
        </w:rPr>
      </w:pPr>
      <w:r>
        <w:rPr>
          <w:rFonts w:hint="eastAsia" w:ascii="Calibri" w:hAnsi="Calibri" w:eastAsia="仿宋" w:cs="Calibri"/>
          <w:color w:val="333333"/>
          <w:kern w:val="0"/>
          <w:sz w:val="24"/>
          <w:u w:val="single"/>
          <w:lang w:val="en-US" w:eastAsia="zh-CN"/>
        </w:rPr>
        <w:t>T2类论文，</w:t>
      </w:r>
      <w:r>
        <w:rPr>
          <w:rFonts w:hint="eastAsia" w:ascii="Calibri" w:hAnsi="Calibri" w:eastAsia="仿宋" w:cs="Calibri"/>
          <w:color w:val="333333"/>
          <w:kern w:val="0"/>
          <w:sz w:val="24"/>
          <w:u w:val="single"/>
        </w:rPr>
        <w:t>根据影响因子（IF）大小来确定作者排名的加分值：（IF）＜1.0的，第一作者按100%标准加分，其他作者不加分；1.0≤（IF）＜3.0的，第一作者按100%标准加分，第二作者按30%标准加分，其他作者不加分；3.0≤（IF）＜5.0的，第一作者按100%标准加分，第二作者按30%标准加分，第三作者按10%标准加分，其他作者不加分；</w:t>
      </w:r>
      <w:r>
        <w:rPr>
          <w:rFonts w:hint="eastAsia" w:ascii="Calibri" w:hAnsi="Calibri" w:eastAsia="仿宋" w:cs="Calibri"/>
          <w:color w:val="333333"/>
          <w:kern w:val="0"/>
          <w:sz w:val="24"/>
          <w:highlight w:val="none"/>
          <w:u w:val="single"/>
        </w:rPr>
        <w:t>（</w:t>
      </w:r>
      <w:r>
        <w:rPr>
          <w:rFonts w:ascii="Calibri" w:hAnsi="Calibri" w:eastAsia="仿宋" w:cs="Calibri"/>
          <w:color w:val="333333"/>
          <w:kern w:val="0"/>
          <w:sz w:val="24"/>
          <w:highlight w:val="none"/>
          <w:u w:val="single"/>
        </w:rPr>
        <w:t>IF</w:t>
      </w:r>
      <w:r>
        <w:rPr>
          <w:rFonts w:hint="eastAsia" w:ascii="Calibri" w:hAnsi="Calibri" w:eastAsia="仿宋" w:cs="Calibri"/>
          <w:color w:val="333333"/>
          <w:kern w:val="0"/>
          <w:sz w:val="24"/>
          <w:highlight w:val="none"/>
          <w:u w:val="single"/>
        </w:rPr>
        <w:t>）≥</w:t>
      </w:r>
      <w:r>
        <w:rPr>
          <w:rFonts w:ascii="Calibri" w:hAnsi="Calibri" w:eastAsia="仿宋" w:cs="Calibri"/>
          <w:color w:val="333333"/>
          <w:kern w:val="0"/>
          <w:sz w:val="24"/>
          <w:highlight w:val="none"/>
          <w:u w:val="single"/>
        </w:rPr>
        <w:t>5.0</w:t>
      </w:r>
      <w:r>
        <w:rPr>
          <w:rFonts w:hint="eastAsia" w:ascii="Calibri" w:hAnsi="Calibri" w:eastAsia="仿宋" w:cs="Calibri"/>
          <w:color w:val="333333"/>
          <w:kern w:val="0"/>
          <w:sz w:val="24"/>
          <w:highlight w:val="none"/>
          <w:u w:val="single"/>
        </w:rPr>
        <w:t>的，第一作者按</w:t>
      </w:r>
      <w:r>
        <w:rPr>
          <w:rFonts w:ascii="Calibri" w:hAnsi="Calibri" w:eastAsia="仿宋" w:cs="Calibri"/>
          <w:color w:val="333333"/>
          <w:kern w:val="0"/>
          <w:sz w:val="24"/>
          <w:highlight w:val="none"/>
          <w:u w:val="single"/>
        </w:rPr>
        <w:t>100%</w:t>
      </w:r>
      <w:r>
        <w:rPr>
          <w:rFonts w:hint="eastAsia" w:ascii="Calibri" w:hAnsi="Calibri" w:eastAsia="仿宋" w:cs="Calibri"/>
          <w:color w:val="333333"/>
          <w:kern w:val="0"/>
          <w:sz w:val="24"/>
          <w:highlight w:val="none"/>
          <w:u w:val="single"/>
        </w:rPr>
        <w:t>标准加分，第二作者按</w:t>
      </w:r>
      <w:r>
        <w:rPr>
          <w:rFonts w:ascii="Calibri" w:hAnsi="Calibri" w:eastAsia="仿宋" w:cs="Calibri"/>
          <w:color w:val="333333"/>
          <w:kern w:val="0"/>
          <w:sz w:val="24"/>
          <w:highlight w:val="none"/>
          <w:u w:val="single"/>
        </w:rPr>
        <w:t>30%</w:t>
      </w:r>
      <w:r>
        <w:rPr>
          <w:rFonts w:hint="eastAsia" w:ascii="Calibri" w:hAnsi="Calibri" w:eastAsia="仿宋" w:cs="Calibri"/>
          <w:color w:val="333333"/>
          <w:kern w:val="0"/>
          <w:sz w:val="24"/>
          <w:highlight w:val="none"/>
          <w:u w:val="single"/>
        </w:rPr>
        <w:t>标准加分，第三、第四作者按</w:t>
      </w:r>
      <w:r>
        <w:rPr>
          <w:rFonts w:ascii="Calibri" w:hAnsi="Calibri" w:eastAsia="仿宋" w:cs="Calibri"/>
          <w:color w:val="333333"/>
          <w:kern w:val="0"/>
          <w:sz w:val="24"/>
          <w:highlight w:val="none"/>
          <w:u w:val="single"/>
        </w:rPr>
        <w:t>10%</w:t>
      </w:r>
      <w:r>
        <w:rPr>
          <w:rFonts w:hint="eastAsia" w:ascii="Calibri" w:hAnsi="Calibri" w:eastAsia="仿宋" w:cs="Calibri"/>
          <w:color w:val="333333"/>
          <w:kern w:val="0"/>
          <w:sz w:val="24"/>
          <w:highlight w:val="none"/>
          <w:u w:val="single"/>
        </w:rPr>
        <w:t>标准加分，其他作者不加分。以非第一作者身份发表多篇论文时，非第一作者的论文只加两篇的分数。</w:t>
      </w:r>
      <w:r>
        <w:rPr>
          <w:rFonts w:hint="eastAsia" w:ascii="Calibri" w:hAnsi="Calibri" w:eastAsia="仿宋" w:cs="Calibri"/>
          <w:color w:val="333333"/>
          <w:kern w:val="0"/>
          <w:sz w:val="24"/>
          <w:u w:val="single"/>
        </w:rPr>
        <w:t>如出现共同第一作者，则排头第一作者按100%标准加分，</w:t>
      </w:r>
      <w:r>
        <w:rPr>
          <w:rFonts w:hint="eastAsia" w:ascii="Calibri" w:hAnsi="Calibri" w:eastAsia="仿宋" w:cs="Calibri"/>
          <w:color w:val="333333"/>
          <w:kern w:val="0"/>
          <w:sz w:val="24"/>
          <w:u w:val="single"/>
          <w:lang w:val="en-US" w:eastAsia="zh-CN"/>
        </w:rPr>
        <w:t>共同1作，排名第2，按照75%标准加分，</w:t>
      </w:r>
      <w:r>
        <w:rPr>
          <w:rFonts w:hint="eastAsia" w:ascii="Calibri" w:hAnsi="Calibri" w:eastAsia="仿宋" w:cs="Calibri"/>
          <w:color w:val="333333"/>
          <w:kern w:val="0"/>
          <w:sz w:val="24"/>
          <w:u w:val="single"/>
        </w:rPr>
        <w:t>其他共同作者按（1/共同作者数）*100%标准加分；共同作者（共同作者数设为N人）之后的作者，则视为第（N+1）作者、（N+2）作者……，具体加分标准取决于影响因子的大小。</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u w:val="single"/>
        </w:rPr>
      </w:pPr>
      <w:r>
        <w:rPr>
          <w:rFonts w:hint="eastAsia" w:ascii="Calibri" w:hAnsi="Calibri" w:eastAsia="仿宋" w:cs="Calibri"/>
          <w:color w:val="333333"/>
          <w:kern w:val="0"/>
          <w:sz w:val="24"/>
          <w:u w:val="single"/>
          <w:lang w:val="en-US" w:eastAsia="zh-CN"/>
        </w:rPr>
        <w:t>A、B、C类</w:t>
      </w:r>
      <w:r>
        <w:rPr>
          <w:rFonts w:hint="eastAsia" w:ascii="Calibri" w:hAnsi="Calibri" w:eastAsia="仿宋" w:cs="Calibri"/>
          <w:color w:val="333333"/>
          <w:kern w:val="0"/>
          <w:sz w:val="24"/>
          <w:u w:val="single"/>
        </w:rPr>
        <w:t>论文，根据影响因子（IF）大小来确定作者排名的加分值：（IF）＜1.0的，第一作者按100%标准加分，其他作者不加分；1.0≤（IF）＜3.0的，第一作者按100%标准加分，第二作者按30%标准加分，其他作者不加分；3.0≤（IF）＜5.0的，第一作者按100%标准加分，第二作者按30%标准加分，第三作者按10%标准加分，其他作者不加分；</w:t>
      </w:r>
      <w:r>
        <w:rPr>
          <w:rFonts w:hint="eastAsia" w:ascii="Calibri" w:hAnsi="Calibri" w:eastAsia="仿宋" w:cs="Calibri"/>
          <w:color w:val="333333"/>
          <w:kern w:val="0"/>
          <w:sz w:val="24"/>
          <w:highlight w:val="none"/>
          <w:u w:val="single"/>
        </w:rPr>
        <w:t>（</w:t>
      </w:r>
      <w:r>
        <w:rPr>
          <w:rFonts w:ascii="Calibri" w:hAnsi="Calibri" w:eastAsia="仿宋" w:cs="Calibri"/>
          <w:color w:val="333333"/>
          <w:kern w:val="0"/>
          <w:sz w:val="24"/>
          <w:highlight w:val="none"/>
          <w:u w:val="single"/>
        </w:rPr>
        <w:t>IF</w:t>
      </w:r>
      <w:r>
        <w:rPr>
          <w:rFonts w:hint="eastAsia" w:ascii="Calibri" w:hAnsi="Calibri" w:eastAsia="仿宋" w:cs="Calibri"/>
          <w:color w:val="333333"/>
          <w:kern w:val="0"/>
          <w:sz w:val="24"/>
          <w:highlight w:val="none"/>
          <w:u w:val="single"/>
        </w:rPr>
        <w:t>）≥</w:t>
      </w:r>
      <w:r>
        <w:rPr>
          <w:rFonts w:ascii="Calibri" w:hAnsi="Calibri" w:eastAsia="仿宋" w:cs="Calibri"/>
          <w:color w:val="333333"/>
          <w:kern w:val="0"/>
          <w:sz w:val="24"/>
          <w:highlight w:val="none"/>
          <w:u w:val="single"/>
        </w:rPr>
        <w:t>5.0</w:t>
      </w:r>
      <w:r>
        <w:rPr>
          <w:rFonts w:hint="eastAsia" w:ascii="Calibri" w:hAnsi="Calibri" w:eastAsia="仿宋" w:cs="Calibri"/>
          <w:color w:val="333333"/>
          <w:kern w:val="0"/>
          <w:sz w:val="24"/>
          <w:highlight w:val="none"/>
          <w:u w:val="single"/>
        </w:rPr>
        <w:t>的，第一作者按</w:t>
      </w:r>
      <w:r>
        <w:rPr>
          <w:rFonts w:ascii="Calibri" w:hAnsi="Calibri" w:eastAsia="仿宋" w:cs="Calibri"/>
          <w:color w:val="333333"/>
          <w:kern w:val="0"/>
          <w:sz w:val="24"/>
          <w:highlight w:val="none"/>
          <w:u w:val="single"/>
        </w:rPr>
        <w:t>100%</w:t>
      </w:r>
      <w:r>
        <w:rPr>
          <w:rFonts w:hint="eastAsia" w:ascii="Calibri" w:hAnsi="Calibri" w:eastAsia="仿宋" w:cs="Calibri"/>
          <w:color w:val="333333"/>
          <w:kern w:val="0"/>
          <w:sz w:val="24"/>
          <w:highlight w:val="none"/>
          <w:u w:val="single"/>
        </w:rPr>
        <w:t>标准加分，第二作者按</w:t>
      </w:r>
      <w:r>
        <w:rPr>
          <w:rFonts w:ascii="Calibri" w:hAnsi="Calibri" w:eastAsia="仿宋" w:cs="Calibri"/>
          <w:color w:val="333333"/>
          <w:kern w:val="0"/>
          <w:sz w:val="24"/>
          <w:highlight w:val="none"/>
          <w:u w:val="single"/>
        </w:rPr>
        <w:t>30%</w:t>
      </w:r>
      <w:r>
        <w:rPr>
          <w:rFonts w:hint="eastAsia" w:ascii="Calibri" w:hAnsi="Calibri" w:eastAsia="仿宋" w:cs="Calibri"/>
          <w:color w:val="333333"/>
          <w:kern w:val="0"/>
          <w:sz w:val="24"/>
          <w:highlight w:val="none"/>
          <w:u w:val="single"/>
        </w:rPr>
        <w:t>标准加分，第三、第四作者按</w:t>
      </w:r>
      <w:r>
        <w:rPr>
          <w:rFonts w:ascii="Calibri" w:hAnsi="Calibri" w:eastAsia="仿宋" w:cs="Calibri"/>
          <w:color w:val="333333"/>
          <w:kern w:val="0"/>
          <w:sz w:val="24"/>
          <w:highlight w:val="none"/>
          <w:u w:val="single"/>
        </w:rPr>
        <w:t>10%</w:t>
      </w:r>
      <w:r>
        <w:rPr>
          <w:rFonts w:hint="eastAsia" w:ascii="Calibri" w:hAnsi="Calibri" w:eastAsia="仿宋" w:cs="Calibri"/>
          <w:color w:val="333333"/>
          <w:kern w:val="0"/>
          <w:sz w:val="24"/>
          <w:highlight w:val="none"/>
          <w:u w:val="single"/>
        </w:rPr>
        <w:t>标准加分，其他作者不加分。以非第一作者身份发表多篇论文时，非第一作者的论文只加两篇的分数。</w:t>
      </w:r>
      <w:r>
        <w:rPr>
          <w:rFonts w:hint="eastAsia" w:ascii="Calibri" w:hAnsi="Calibri" w:eastAsia="仿宋" w:cs="Calibri"/>
          <w:color w:val="333333"/>
          <w:kern w:val="0"/>
          <w:sz w:val="24"/>
          <w:u w:val="single"/>
        </w:rPr>
        <w:t>如出现共同第一作者，则排头第一作者按100%标准加分，其他共同作者按（1/共同作者数）*100%标准加分；共同作者（共同作者数设为N人）之后的作者，则视为第（N+1）作者、（N+2）作者……，具体加分标准取决于影响因子的大小。</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r>
        <w:rPr>
          <w:rFonts w:hint="eastAsia" w:ascii="Calibri" w:hAnsi="Calibri" w:eastAsia="仿宋" w:cs="Calibri"/>
          <w:color w:val="333333"/>
          <w:kern w:val="0"/>
          <w:sz w:val="24"/>
        </w:rPr>
        <w:t>【学科竞赛或创新创业竞赛奖励】</w:t>
      </w:r>
    </w:p>
    <w:tbl>
      <w:tblPr>
        <w:tblStyle w:val="13"/>
        <w:tblW w:w="7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7"/>
        <w:gridCol w:w="1392"/>
        <w:gridCol w:w="986"/>
        <w:gridCol w:w="1061"/>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637"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第1名：加100%；</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第2名：加30%；</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第3名：加10%；</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第4、5名：加5%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市级/校级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院级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bl>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highlight w:val="none"/>
          <w:u w:val="single"/>
        </w:rPr>
      </w:pPr>
      <w:r>
        <w:rPr>
          <w:rFonts w:hint="eastAsia" w:ascii="Calibri" w:hAnsi="Calibri" w:eastAsia="仿宋" w:cs="Calibri"/>
          <w:color w:val="333333"/>
          <w:kern w:val="0"/>
          <w:sz w:val="24"/>
          <w:highlight w:val="none"/>
          <w:u w:val="single"/>
        </w:rPr>
        <w:t>以上各级奖励均应由政府部门、机关单位、党团组织，或国家一级行业学会和协会颁发</w:t>
      </w:r>
      <w:r>
        <w:rPr>
          <w:rFonts w:hint="eastAsia" w:ascii="Calibri" w:hAnsi="Calibri" w:eastAsia="仿宋" w:cs="Calibri"/>
          <w:color w:val="333333"/>
          <w:kern w:val="0"/>
          <w:sz w:val="24"/>
          <w:highlight w:val="none"/>
          <w:u w:val="single"/>
          <w:lang w:val="en-US" w:eastAsia="zh-CN"/>
        </w:rPr>
        <w:t>。</w:t>
      </w:r>
      <w:r>
        <w:rPr>
          <w:rFonts w:hint="eastAsia" w:ascii="Calibri" w:hAnsi="Calibri" w:eastAsia="仿宋" w:cs="Calibri"/>
          <w:b w:val="0"/>
          <w:bCs w:val="0"/>
          <w:color w:val="333333"/>
          <w:kern w:val="0"/>
          <w:sz w:val="24"/>
          <w:highlight w:val="none"/>
          <w:u w:val="single"/>
        </w:rPr>
        <w:t>各类奖励的级</w:t>
      </w:r>
      <w:r>
        <w:rPr>
          <w:rFonts w:hint="eastAsia" w:ascii="Calibri" w:hAnsi="Calibri" w:eastAsia="仿宋" w:cs="Calibri"/>
          <w:color w:val="333333"/>
          <w:kern w:val="0"/>
          <w:sz w:val="24"/>
          <w:highlight w:val="none"/>
          <w:u w:val="single"/>
        </w:rPr>
        <w:t>别以所盖的公章为准。以上各级奖励均应提供盖有公章的证明。同一作品（项目）</w:t>
      </w:r>
      <w:r>
        <w:rPr>
          <w:rFonts w:hint="eastAsia" w:ascii="Calibri" w:hAnsi="Calibri" w:eastAsia="仿宋" w:cs="Calibri"/>
          <w:color w:val="333333"/>
          <w:kern w:val="0"/>
          <w:sz w:val="24"/>
          <w:highlight w:val="none"/>
          <w:u w:val="single"/>
          <w:lang w:eastAsia="zh-CN"/>
        </w:rPr>
        <w:t>（</w:t>
      </w:r>
      <w:r>
        <w:rPr>
          <w:rFonts w:hint="eastAsia" w:ascii="Calibri" w:hAnsi="Calibri" w:eastAsia="仿宋" w:cs="Calibri"/>
          <w:color w:val="333333"/>
          <w:kern w:val="0"/>
          <w:sz w:val="24"/>
          <w:highlight w:val="none"/>
          <w:u w:val="single"/>
          <w:lang w:val="en-US" w:eastAsia="zh-CN"/>
        </w:rPr>
        <w:t>不管是否在同一比赛</w:t>
      </w:r>
      <w:r>
        <w:rPr>
          <w:rFonts w:hint="eastAsia" w:ascii="Calibri" w:hAnsi="Calibri" w:eastAsia="仿宋" w:cs="Calibri"/>
          <w:color w:val="333333"/>
          <w:kern w:val="0"/>
          <w:sz w:val="24"/>
          <w:highlight w:val="none"/>
          <w:u w:val="single"/>
          <w:lang w:eastAsia="zh-CN"/>
        </w:rPr>
        <w:t>）</w:t>
      </w:r>
      <w:r>
        <w:rPr>
          <w:rFonts w:hint="eastAsia" w:ascii="Calibri" w:hAnsi="Calibri" w:eastAsia="仿宋" w:cs="Calibri"/>
          <w:color w:val="333333"/>
          <w:kern w:val="0"/>
          <w:sz w:val="24"/>
          <w:highlight w:val="none"/>
          <w:u w:val="single"/>
        </w:rPr>
        <w:t>多次获奖，且获奖时间都发生在当年评优时间内，按最高获奖级别加分。</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r>
        <w:rPr>
          <w:rFonts w:hint="eastAsia" w:ascii="Calibri" w:hAnsi="Calibri" w:eastAsia="仿宋" w:cs="Calibri"/>
          <w:color w:val="333333"/>
          <w:kern w:val="0"/>
          <w:sz w:val="24"/>
        </w:rPr>
        <w:t>【科研项目和创新创业项目】</w:t>
      </w:r>
    </w:p>
    <w:tbl>
      <w:tblPr>
        <w:tblStyle w:val="13"/>
        <w:tblW w:w="758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29"/>
        <w:gridCol w:w="1975"/>
        <w:gridCol w:w="2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项目级别</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已立项的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（第一次加分）</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已结题</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（第二次加分）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A类横向项目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省（部）级、</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B类横向项目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、市级、校级</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C类横向项目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院级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bl>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eastAsia="zh-CN"/>
        </w:rPr>
      </w:pPr>
      <w:r>
        <w:rPr>
          <w:rFonts w:hint="eastAsia" w:ascii="Calibri" w:hAnsi="Calibri" w:eastAsia="仿宋" w:cs="Calibri"/>
          <w:color w:val="333333"/>
          <w:kern w:val="0"/>
          <w:sz w:val="24"/>
        </w:rPr>
        <w:t>以上各类项目均应由政府部门、机关单位、党团组织，或国家一级行业学会和协会举办，申请者务必为项目第一主持人</w:t>
      </w:r>
      <w:r>
        <w:rPr>
          <w:rFonts w:hint="eastAsia" w:ascii="Calibri" w:hAnsi="Calibri" w:eastAsia="仿宋" w:cs="Calibri"/>
          <w:color w:val="333333"/>
          <w:kern w:val="0"/>
          <w:sz w:val="24"/>
          <w:lang w:eastAsia="zh-CN"/>
        </w:rPr>
        <w:t>（</w:t>
      </w:r>
      <w:r>
        <w:rPr>
          <w:rFonts w:hint="eastAsia" w:ascii="Calibri" w:hAnsi="Calibri" w:eastAsia="仿宋" w:cs="Calibri"/>
          <w:color w:val="333333"/>
          <w:kern w:val="0"/>
          <w:sz w:val="24"/>
        </w:rPr>
        <w:t>本科生项目不纳入此范围</w:t>
      </w:r>
      <w:r>
        <w:rPr>
          <w:rFonts w:hint="eastAsia" w:ascii="Calibri" w:hAnsi="Calibri" w:eastAsia="仿宋" w:cs="Calibri"/>
          <w:color w:val="333333"/>
          <w:kern w:val="0"/>
          <w:sz w:val="24"/>
          <w:lang w:eastAsia="zh-CN"/>
        </w:rPr>
        <w:t>）</w:t>
      </w:r>
      <w:r>
        <w:rPr>
          <w:rFonts w:hint="eastAsia" w:ascii="Calibri" w:hAnsi="Calibri" w:eastAsia="仿宋" w:cs="Calibri"/>
          <w:color w:val="333333"/>
          <w:kern w:val="0"/>
          <w:sz w:val="24"/>
        </w:rPr>
        <w:t>，其他成员不加分</w:t>
      </w:r>
      <w:r>
        <w:rPr>
          <w:rFonts w:hint="eastAsia" w:ascii="Calibri" w:hAnsi="Calibri" w:eastAsia="仿宋" w:cs="Calibri"/>
          <w:color w:val="333333"/>
          <w:kern w:val="0"/>
          <w:sz w:val="24"/>
          <w:lang w:eastAsia="zh-CN"/>
        </w:rPr>
        <w:t>，</w:t>
      </w:r>
      <w:r>
        <w:rPr>
          <w:rFonts w:hint="eastAsia" w:ascii="Calibri" w:hAnsi="Calibri" w:eastAsia="仿宋" w:cs="Calibri"/>
          <w:color w:val="333333"/>
          <w:kern w:val="0"/>
          <w:sz w:val="24"/>
        </w:rPr>
        <w:t>若项目属于横向性质的，可参照文件《关于印发华南农业大学</w:t>
      </w:r>
      <w:r>
        <w:rPr>
          <w:rFonts w:hint="eastAsia" w:ascii="Calibri" w:hAnsi="Calibri" w:eastAsia="仿宋" w:cs="Calibri"/>
          <w:color w:val="333333"/>
          <w:kern w:val="0"/>
          <w:sz w:val="24"/>
          <w:lang w:val="en-US" w:eastAsia="zh-CN"/>
        </w:rPr>
        <w:t>职称</w:t>
      </w:r>
      <w:r>
        <w:rPr>
          <w:rFonts w:hint="eastAsia" w:ascii="Calibri" w:hAnsi="Calibri" w:eastAsia="仿宋" w:cs="Calibri"/>
          <w:color w:val="333333"/>
          <w:kern w:val="0"/>
          <w:sz w:val="24"/>
        </w:rPr>
        <w:t>评审办法的通知》（华南农办[20</w:t>
      </w:r>
      <w:r>
        <w:rPr>
          <w:rFonts w:hint="eastAsia" w:ascii="Calibri" w:hAnsi="Calibri" w:eastAsia="仿宋" w:cs="Calibri"/>
          <w:color w:val="333333"/>
          <w:kern w:val="0"/>
          <w:sz w:val="24"/>
          <w:lang w:val="en-US" w:eastAsia="zh-CN"/>
        </w:rPr>
        <w:t>22</w:t>
      </w:r>
      <w:r>
        <w:rPr>
          <w:rFonts w:hint="eastAsia" w:ascii="Calibri" w:hAnsi="Calibri" w:eastAsia="仿宋" w:cs="Calibri"/>
          <w:color w:val="333333"/>
          <w:kern w:val="0"/>
          <w:sz w:val="24"/>
        </w:rPr>
        <w:t>]</w:t>
      </w:r>
      <w:r>
        <w:rPr>
          <w:rFonts w:hint="eastAsia" w:ascii="Calibri" w:hAnsi="Calibri" w:eastAsia="仿宋" w:cs="Calibri"/>
          <w:color w:val="333333"/>
          <w:kern w:val="0"/>
          <w:sz w:val="24"/>
          <w:lang w:val="en-US" w:eastAsia="zh-CN"/>
        </w:rPr>
        <w:t>9</w:t>
      </w:r>
      <w:r>
        <w:rPr>
          <w:rFonts w:hint="eastAsia" w:ascii="Calibri" w:hAnsi="Calibri" w:eastAsia="仿宋" w:cs="Calibri"/>
          <w:color w:val="333333"/>
          <w:kern w:val="0"/>
          <w:sz w:val="24"/>
        </w:rPr>
        <w:t>号）</w:t>
      </w:r>
      <w:r>
        <w:rPr>
          <w:rFonts w:hint="eastAsia" w:ascii="Calibri" w:hAnsi="Calibri" w:eastAsia="仿宋" w:cs="Calibri"/>
          <w:color w:val="333333"/>
          <w:kern w:val="0"/>
          <w:sz w:val="24"/>
          <w:lang w:val="en-US" w:eastAsia="zh-CN"/>
        </w:rPr>
        <w:t>进行级别认定</w:t>
      </w:r>
      <w:r>
        <w:rPr>
          <w:rFonts w:hint="eastAsia" w:ascii="Calibri" w:hAnsi="Calibri" w:eastAsia="仿宋" w:cs="Calibri"/>
          <w:color w:val="333333"/>
          <w:kern w:val="0"/>
          <w:sz w:val="24"/>
          <w:lang w:eastAsia="zh-CN"/>
        </w:rPr>
        <w:t>。</w:t>
      </w:r>
    </w:p>
    <w:p>
      <w:pPr>
        <w:widowControl/>
        <w:shd w:val="clear" w:color="auto" w:fill="FFFFFF"/>
        <w:spacing w:line="360" w:lineRule="atLeast"/>
        <w:ind w:right="720" w:firstLine="0" w:firstLineChars="0"/>
        <w:jc w:val="left"/>
        <w:rPr>
          <w:rFonts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r>
        <w:rPr>
          <w:rFonts w:hint="eastAsia" w:ascii="Calibri" w:hAnsi="Calibri" w:eastAsia="仿宋" w:cs="Calibri"/>
          <w:color w:val="333333"/>
          <w:kern w:val="0"/>
          <w:sz w:val="24"/>
        </w:rPr>
        <w:t>【专著（编、译）书籍】</w:t>
      </w:r>
    </w:p>
    <w:tbl>
      <w:tblPr>
        <w:tblStyle w:val="13"/>
        <w:tblW w:w="7564"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5"/>
        <w:gridCol w:w="1993"/>
        <w:gridCol w:w="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类别</w:t>
            </w:r>
          </w:p>
        </w:tc>
        <w:tc>
          <w:tcPr>
            <w:tcW w:w="3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333333"/>
                <w:kern w:val="0"/>
                <w:sz w:val="24"/>
              </w:rPr>
              <w:t>本学科的外文版学术专著（编、译）书籍(10万字以上)</w:t>
            </w:r>
          </w:p>
        </w:tc>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12分/部</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w:t>
            </w:r>
            <w:r>
              <w:rPr>
                <w:rFonts w:hint="eastAsia" w:ascii="仿宋_GB2312" w:hAnsi="仿宋_GB2312" w:eastAsia="仿宋_GB2312" w:cs="仿宋_GB2312"/>
                <w:i w:val="0"/>
                <w:iCs w:val="0"/>
                <w:color w:val="333333"/>
                <w:kern w:val="0"/>
                <w:sz w:val="24"/>
                <w:szCs w:val="24"/>
                <w:u w:val="none"/>
                <w:lang w:val="en-US" w:eastAsia="zh-CN" w:bidi="ar"/>
              </w:rPr>
              <w:t>编：加100%；</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副主编：加30%；其他编委：加10%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333333"/>
                <w:kern w:val="0"/>
                <w:sz w:val="24"/>
              </w:rPr>
              <w:t>出版本学科的中文版学术专著（编）书籍(10万字以上)</w:t>
            </w:r>
          </w:p>
        </w:tc>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10分/部</w:t>
            </w: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其他学术性著作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6分/部</w:t>
            </w: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bl>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lang w:val="en-US" w:eastAsia="zh-CN"/>
        </w:rPr>
        <w:t>注：</w:t>
      </w:r>
      <w:r>
        <w:rPr>
          <w:rFonts w:hint="eastAsia" w:ascii="Calibri" w:hAnsi="Calibri" w:eastAsia="仿宋" w:cs="Calibri"/>
          <w:color w:val="333333"/>
          <w:kern w:val="0"/>
          <w:sz w:val="24"/>
        </w:rPr>
        <w:t>以上出版的书籍均须有正式书刊号</w:t>
      </w:r>
      <w:r>
        <w:rPr>
          <w:rFonts w:hint="eastAsia" w:ascii="Calibri" w:hAnsi="Calibri" w:eastAsia="仿宋" w:cs="Calibri"/>
          <w:color w:val="333333"/>
          <w:kern w:val="0"/>
          <w:sz w:val="24"/>
          <w:lang w:eastAsia="zh-CN"/>
        </w:rPr>
        <w:t>，</w:t>
      </w:r>
      <w:r>
        <w:rPr>
          <w:rFonts w:hint="eastAsia" w:ascii="Calibri" w:hAnsi="Calibri" w:eastAsia="仿宋" w:cs="Calibri"/>
          <w:i w:val="0"/>
          <w:iCs w:val="0"/>
          <w:color w:val="333333"/>
          <w:kern w:val="0"/>
          <w:sz w:val="24"/>
          <w:szCs w:val="24"/>
          <w:u w:val="none"/>
          <w:lang w:val="en-US" w:eastAsia="zh-CN" w:bidi="ar"/>
        </w:rPr>
        <w:t>以出版时间为准计算加分年度</w:t>
      </w:r>
      <w:r>
        <w:rPr>
          <w:rFonts w:hint="eastAsia" w:ascii="Calibri" w:hAnsi="Calibri" w:eastAsia="仿宋" w:cs="Calibri"/>
          <w:color w:val="333333"/>
          <w:kern w:val="0"/>
          <w:sz w:val="24"/>
          <w:lang w:eastAsia="zh-CN"/>
        </w:rPr>
        <w:t>。</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【优秀成果奖】</w:t>
      </w:r>
    </w:p>
    <w:tbl>
      <w:tblPr>
        <w:tblStyle w:val="13"/>
        <w:tblpPr w:leftFromText="180" w:rightFromText="180" w:vertAnchor="text" w:horzAnchor="page" w:tblpX="1856" w:tblpY="221"/>
        <w:tblOverlap w:val="never"/>
        <w:tblW w:w="7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04"/>
        <w:gridCol w:w="1864"/>
        <w:gridCol w:w="3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级别</w:t>
            </w:r>
          </w:p>
        </w:tc>
        <w:tc>
          <w:tcPr>
            <w:tcW w:w="50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16分/项</w:t>
            </w:r>
          </w:p>
        </w:tc>
        <w:tc>
          <w:tcPr>
            <w:tcW w:w="3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第1名：加100%：</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第2名：加30%；</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第3名：加10%；</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第4、5名：加5%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12分/项</w:t>
            </w: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校级</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6分/项</w:t>
            </w: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bl>
    <w:p>
      <w:pPr>
        <w:widowControl/>
        <w:shd w:val="clear" w:color="auto" w:fill="FFFFFF"/>
        <w:spacing w:line="360" w:lineRule="atLeast"/>
        <w:ind w:right="720" w:firstLine="0" w:firstLineChars="0"/>
        <w:jc w:val="left"/>
        <w:rPr>
          <w:rFonts w:hint="eastAsia"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rPr>
      </w:pPr>
    </w:p>
    <w:p>
      <w:pPr>
        <w:widowControl/>
        <w:shd w:val="clear" w:color="auto" w:fill="FFFFFF"/>
        <w:spacing w:line="360" w:lineRule="atLeast"/>
        <w:ind w:left="479" w:leftChars="228" w:right="720" w:firstLine="0" w:firstLineChars="0"/>
        <w:jc w:val="left"/>
        <w:rPr>
          <w:rFonts w:hint="eastAsia" w:ascii="Calibri" w:hAnsi="Calibri" w:eastAsia="仿宋" w:cs="Calibri"/>
          <w:color w:val="333333"/>
          <w:kern w:val="0"/>
          <w:sz w:val="24"/>
        </w:rPr>
      </w:pPr>
    </w:p>
    <w:p>
      <w:pPr>
        <w:widowControl/>
        <w:shd w:val="clear" w:color="auto" w:fill="FFFFFF"/>
        <w:spacing w:line="360" w:lineRule="atLeast"/>
        <w:ind w:left="0" w:leftChars="0" w:right="720" w:firstLine="480" w:firstLineChars="200"/>
        <w:jc w:val="left"/>
        <w:rPr>
          <w:rFonts w:hint="eastAsia" w:ascii="Calibri" w:hAnsi="Calibri" w:eastAsia="仿宋" w:cs="Calibri"/>
          <w:color w:val="333333"/>
          <w:kern w:val="0"/>
          <w:sz w:val="24"/>
        </w:rPr>
      </w:pPr>
      <w:r>
        <w:rPr>
          <w:rFonts w:hint="eastAsia" w:ascii="Calibri" w:hAnsi="Calibri" w:eastAsia="仿宋" w:cs="Calibri"/>
          <w:color w:val="333333"/>
          <w:kern w:val="0"/>
          <w:sz w:val="24"/>
        </w:rPr>
        <w:t>注：优秀成果奖应由政府部门、机关单位、党团组织或国家一级行业学会、协会颁发。</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r>
        <w:rPr>
          <w:rFonts w:hint="eastAsia" w:ascii="Calibri" w:hAnsi="Calibri" w:eastAsia="仿宋" w:cs="Calibri"/>
          <w:color w:val="333333"/>
          <w:kern w:val="0"/>
          <w:sz w:val="24"/>
        </w:rPr>
        <w:t>【发明专利、品种权、行业标准】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发明专利、品种权。鉴于发明专利、品种权批准周期长的原因，根据审批阶段结果进行加分：收到初审合格通知书，加2分；收到实审通知书，另加3分；收到最终授权通知书，另加3分。注：以上加分均要求当年评优时间内进行，且需要提供所有阶段的通知书，如阶段通知书不在当年评优时间内，则不予加分。</w:t>
      </w:r>
    </w:p>
    <w:p>
      <w:pPr>
        <w:widowControl/>
        <w:shd w:val="clear" w:color="auto" w:fill="FFFFFF"/>
        <w:spacing w:line="360" w:lineRule="atLeast"/>
        <w:ind w:right="720" w:firstLine="480" w:firstLineChars="200"/>
        <w:jc w:val="left"/>
        <w:rPr>
          <w:rFonts w:ascii="Calibri" w:hAnsi="Calibri" w:eastAsia="仿宋" w:cs="Calibri"/>
          <w:color w:val="333333"/>
          <w:kern w:val="0"/>
          <w:sz w:val="24"/>
          <w:u w:val="single"/>
        </w:rPr>
      </w:pPr>
      <w:r>
        <w:rPr>
          <w:rFonts w:hint="eastAsia" w:ascii="Calibri" w:hAnsi="Calibri" w:eastAsia="仿宋" w:cs="Calibri"/>
          <w:color w:val="333333"/>
          <w:kern w:val="0"/>
          <w:sz w:val="24"/>
          <w:u w:val="single"/>
        </w:rPr>
        <w:t>*已授权实用新型（外观设计）专利、软件著作权，</w:t>
      </w:r>
      <w:r>
        <w:rPr>
          <w:rFonts w:hint="eastAsia" w:ascii="Calibri" w:hAnsi="Calibri" w:eastAsia="仿宋" w:cs="Calibri"/>
          <w:color w:val="333333"/>
          <w:kern w:val="0"/>
          <w:sz w:val="24"/>
          <w:u w:val="single"/>
          <w:lang w:val="en-US" w:eastAsia="zh-CN"/>
        </w:rPr>
        <w:t>1</w:t>
      </w:r>
      <w:r>
        <w:rPr>
          <w:rFonts w:hint="eastAsia" w:ascii="Calibri" w:hAnsi="Calibri" w:eastAsia="仿宋" w:cs="Calibri"/>
          <w:color w:val="333333"/>
          <w:kern w:val="0"/>
          <w:sz w:val="24"/>
          <w:u w:val="single"/>
        </w:rPr>
        <w:t>分/项。</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*发布国家标准，6分/项；发布其他标准，4分/项。</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u w:val="single"/>
          <w:lang w:eastAsia="zh-CN"/>
        </w:rPr>
      </w:pPr>
      <w:r>
        <w:rPr>
          <w:rFonts w:hint="eastAsia" w:ascii="Calibri" w:hAnsi="Calibri" w:eastAsia="仿宋" w:cs="Calibri"/>
          <w:color w:val="333333"/>
          <w:kern w:val="0"/>
          <w:sz w:val="24"/>
          <w:u w:val="single"/>
        </w:rPr>
        <w:t>其中第1</w:t>
      </w:r>
      <w:r>
        <w:rPr>
          <w:rFonts w:hint="eastAsia" w:ascii="Calibri" w:hAnsi="Calibri" w:eastAsia="仿宋" w:cs="Calibri"/>
          <w:color w:val="333333"/>
          <w:kern w:val="0"/>
          <w:sz w:val="24"/>
          <w:u w:val="single"/>
          <w:lang w:val="en-US" w:eastAsia="zh-CN"/>
        </w:rPr>
        <w:t>名</w:t>
      </w:r>
      <w:r>
        <w:rPr>
          <w:rFonts w:hint="eastAsia" w:ascii="Calibri" w:hAnsi="Calibri" w:eastAsia="仿宋" w:cs="Calibri"/>
          <w:color w:val="333333"/>
          <w:kern w:val="0"/>
          <w:sz w:val="24"/>
          <w:u w:val="single"/>
        </w:rPr>
        <w:t>按100%标准加分，第</w:t>
      </w:r>
      <w:r>
        <w:rPr>
          <w:rFonts w:hint="eastAsia" w:ascii="Calibri" w:hAnsi="Calibri" w:eastAsia="仿宋" w:cs="Calibri"/>
          <w:color w:val="333333"/>
          <w:kern w:val="0"/>
          <w:sz w:val="24"/>
          <w:u w:val="single"/>
          <w:lang w:val="en-US" w:eastAsia="zh-CN"/>
        </w:rPr>
        <w:t>2</w:t>
      </w:r>
      <w:r>
        <w:rPr>
          <w:rFonts w:hint="eastAsia" w:ascii="Calibri" w:hAnsi="Calibri" w:eastAsia="仿宋" w:cs="Calibri"/>
          <w:color w:val="333333"/>
          <w:kern w:val="0"/>
          <w:sz w:val="24"/>
          <w:u w:val="single"/>
        </w:rPr>
        <w:t>、</w:t>
      </w:r>
      <w:r>
        <w:rPr>
          <w:rFonts w:hint="eastAsia" w:ascii="Calibri" w:hAnsi="Calibri" w:eastAsia="仿宋" w:cs="Calibri"/>
          <w:color w:val="333333"/>
          <w:kern w:val="0"/>
          <w:sz w:val="24"/>
          <w:u w:val="single"/>
          <w:lang w:val="en-US" w:eastAsia="zh-CN"/>
        </w:rPr>
        <w:t>3</w:t>
      </w:r>
      <w:r>
        <w:rPr>
          <w:rFonts w:hint="eastAsia" w:ascii="Calibri" w:hAnsi="Calibri" w:eastAsia="仿宋" w:cs="Calibri"/>
          <w:color w:val="333333"/>
          <w:kern w:val="0"/>
          <w:sz w:val="24"/>
          <w:u w:val="single"/>
        </w:rPr>
        <w:t>名分别按60%、30%计算，第</w:t>
      </w:r>
      <w:r>
        <w:rPr>
          <w:rFonts w:hint="eastAsia" w:ascii="Calibri" w:hAnsi="Calibri" w:eastAsia="仿宋" w:cs="Calibri"/>
          <w:color w:val="333333"/>
          <w:kern w:val="0"/>
          <w:sz w:val="24"/>
          <w:u w:val="single"/>
          <w:lang w:val="en-US" w:eastAsia="zh-CN"/>
        </w:rPr>
        <w:t>4</w:t>
      </w:r>
      <w:r>
        <w:rPr>
          <w:rFonts w:hint="eastAsia" w:ascii="Calibri" w:hAnsi="Calibri" w:eastAsia="仿宋" w:cs="Calibri"/>
          <w:color w:val="333333"/>
          <w:kern w:val="0"/>
          <w:sz w:val="24"/>
          <w:u w:val="single"/>
        </w:rPr>
        <w:t>、</w:t>
      </w:r>
      <w:r>
        <w:rPr>
          <w:rFonts w:hint="eastAsia" w:ascii="Calibri" w:hAnsi="Calibri" w:eastAsia="仿宋" w:cs="Calibri"/>
          <w:color w:val="333333"/>
          <w:kern w:val="0"/>
          <w:sz w:val="24"/>
          <w:u w:val="single"/>
          <w:lang w:val="en-US" w:eastAsia="zh-CN"/>
        </w:rPr>
        <w:t>5</w:t>
      </w:r>
      <w:r>
        <w:rPr>
          <w:rFonts w:hint="eastAsia" w:ascii="Calibri" w:hAnsi="Calibri" w:eastAsia="仿宋" w:cs="Calibri"/>
          <w:color w:val="333333"/>
          <w:kern w:val="0"/>
          <w:sz w:val="24"/>
          <w:u w:val="single"/>
        </w:rPr>
        <w:t>名按10%标准加分。</w:t>
      </w:r>
      <w:r>
        <w:rPr>
          <w:rFonts w:hint="eastAsia" w:ascii="Calibri" w:hAnsi="Calibri" w:eastAsia="仿宋" w:cs="Calibri"/>
          <w:color w:val="333333"/>
          <w:kern w:val="0"/>
          <w:sz w:val="24"/>
          <w:u w:val="single"/>
          <w:lang w:eastAsia="zh-CN"/>
        </w:rPr>
        <w:t>（</w:t>
      </w:r>
      <w:r>
        <w:rPr>
          <w:rFonts w:hint="eastAsia" w:ascii="Calibri" w:hAnsi="Calibri" w:eastAsia="仿宋" w:cs="Calibri"/>
          <w:color w:val="333333"/>
          <w:kern w:val="0"/>
          <w:sz w:val="24"/>
          <w:u w:val="single"/>
          <w:lang w:val="en-US" w:eastAsia="zh-CN"/>
        </w:rPr>
        <w:t>上述排名不含老师</w:t>
      </w:r>
      <w:r>
        <w:rPr>
          <w:rFonts w:hint="eastAsia" w:ascii="Calibri" w:hAnsi="Calibri" w:eastAsia="仿宋" w:cs="Calibri"/>
          <w:color w:val="333333"/>
          <w:kern w:val="0"/>
          <w:sz w:val="24"/>
          <w:u w:val="single"/>
          <w:lang w:eastAsia="zh-CN"/>
        </w:rPr>
        <w:t>）</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u w:val="single"/>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r>
        <w:rPr>
          <w:rFonts w:hint="eastAsia" w:ascii="Calibri" w:hAnsi="Calibri" w:eastAsia="仿宋" w:cs="Calibri"/>
          <w:color w:val="333333"/>
          <w:kern w:val="0"/>
          <w:sz w:val="24"/>
        </w:rPr>
        <w:t>【</w:t>
      </w:r>
      <w:r>
        <w:rPr>
          <w:rFonts w:hint="eastAsia" w:ascii="Calibri" w:hAnsi="Calibri" w:eastAsia="仿宋" w:cs="Calibri"/>
          <w:color w:val="333333"/>
          <w:kern w:val="0"/>
          <w:sz w:val="24"/>
          <w:lang w:val="en-US" w:eastAsia="zh-CN"/>
        </w:rPr>
        <w:t>学术会议参与分</w:t>
      </w:r>
      <w:r>
        <w:rPr>
          <w:rFonts w:hint="eastAsia" w:ascii="Calibri" w:hAnsi="Calibri" w:eastAsia="仿宋" w:cs="Calibri"/>
          <w:color w:val="333333"/>
          <w:kern w:val="0"/>
          <w:sz w:val="24"/>
        </w:rPr>
        <w:t>】</w:t>
      </w:r>
    </w:p>
    <w:tbl>
      <w:tblPr>
        <w:tblStyle w:val="13"/>
        <w:tblpPr w:leftFromText="180" w:rightFromText="180" w:vertAnchor="text" w:horzAnchor="page" w:tblpX="1770" w:tblpY="30"/>
        <w:tblOverlap w:val="never"/>
        <w:tblW w:w="75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5"/>
        <w:gridCol w:w="1993"/>
        <w:gridCol w:w="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类别</w:t>
            </w:r>
          </w:p>
        </w:tc>
        <w:tc>
          <w:tcPr>
            <w:tcW w:w="3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333333"/>
                <w:kern w:val="0"/>
                <w:sz w:val="24"/>
              </w:rPr>
              <w:t>在由省级以上政府部门或学会举办的学术会议上作报告</w:t>
            </w:r>
          </w:p>
        </w:tc>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0.5分/次</w:t>
            </w:r>
          </w:p>
        </w:tc>
        <w:tc>
          <w:tcPr>
            <w:tcW w:w="14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szCs w:val="24"/>
                <w:u w:val="none"/>
                <w:lang w:val="en-US" w:eastAsia="zh-CN" w:bidi="ar"/>
              </w:rPr>
              <w:t>加分</w:t>
            </w:r>
            <w:r>
              <w:rPr>
                <w:rFonts w:hint="eastAsia" w:ascii="仿宋_GB2312" w:hAnsi="仿宋_GB2312" w:eastAsia="仿宋_GB2312" w:cs="仿宋_GB2312"/>
                <w:color w:val="000000"/>
                <w:kern w:val="0"/>
                <w:sz w:val="24"/>
                <w:szCs w:val="24"/>
                <w:u w:val="none"/>
                <w:lang w:bidi="ar"/>
              </w:rPr>
              <w:t>最高不能超过1分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rPr>
            </w:pPr>
          </w:p>
        </w:tc>
        <w:tc>
          <w:tcPr>
            <w:tcW w:w="199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49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rPr>
            </w:pPr>
          </w:p>
        </w:tc>
        <w:tc>
          <w:tcPr>
            <w:tcW w:w="199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49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333333"/>
                <w:kern w:val="0"/>
                <w:sz w:val="24"/>
              </w:rPr>
              <w:t>在其他校内外学术会议上作报告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0.3分/次</w:t>
            </w:r>
          </w:p>
        </w:tc>
        <w:tc>
          <w:tcPr>
            <w:tcW w:w="1496"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333333"/>
                <w:kern w:val="0"/>
                <w:sz w:val="24"/>
                <w:lang w:bidi="ar"/>
              </w:rPr>
              <w:t>参加校院主办的学术讲座</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0.2分/次</w:t>
            </w:r>
          </w:p>
        </w:tc>
        <w:tc>
          <w:tcPr>
            <w:tcW w:w="1496"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r>
              <w:rPr>
                <w:rFonts w:hint="eastAsia" w:ascii="仿宋_GB2312" w:hAnsi="仿宋_GB2312" w:eastAsia="仿宋_GB2312" w:cs="仿宋_GB2312"/>
                <w:color w:val="333333"/>
                <w:kern w:val="0"/>
                <w:sz w:val="24"/>
                <w:lang w:bidi="ar"/>
              </w:rPr>
              <w:t>针对在外联合培养的（联合培养指研究生已签订国内业务出差联合培养计划登记表），参加所在联合培养单位学术讲座的</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0.2分/次，限2次</w:t>
            </w:r>
          </w:p>
        </w:tc>
        <w:tc>
          <w:tcPr>
            <w:tcW w:w="149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bl>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r>
        <w:rPr>
          <w:rFonts w:hint="eastAsia" w:ascii="Calibri" w:hAnsi="Calibri" w:eastAsia="仿宋" w:cs="Calibri"/>
          <w:color w:val="333333"/>
          <w:kern w:val="0"/>
          <w:sz w:val="24"/>
          <w:lang w:val="en-US" w:eastAsia="zh-CN"/>
        </w:rPr>
        <w:t xml:space="preserve">         </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left="0" w:leftChars="0" w:right="720" w:firstLine="0" w:firstLineChars="0"/>
        <w:jc w:val="both"/>
        <w:rPr>
          <w:rFonts w:hint="eastAsia" w:ascii="Calibri" w:hAnsi="Calibri" w:eastAsia="仿宋" w:cs="Calibri"/>
          <w:color w:val="333333"/>
          <w:kern w:val="0"/>
          <w:sz w:val="24"/>
          <w:lang w:val="en-US" w:eastAsia="zh-CN"/>
        </w:rPr>
      </w:pPr>
    </w:p>
    <w:p>
      <w:pPr>
        <w:widowControl/>
        <w:shd w:val="clear" w:color="auto" w:fill="FFFFFF"/>
        <w:spacing w:line="360" w:lineRule="atLeast"/>
        <w:ind w:left="0" w:leftChars="0" w:right="720" w:firstLine="480" w:firstLineChars="200"/>
        <w:jc w:val="both"/>
        <w:rPr>
          <w:rFonts w:hint="eastAsia" w:ascii="Calibri" w:hAnsi="Calibri" w:eastAsia="仿宋" w:cs="Calibri"/>
          <w:color w:val="333333"/>
          <w:kern w:val="0"/>
          <w:sz w:val="24"/>
          <w:lang w:val="en-US" w:eastAsia="zh-CN"/>
        </w:rPr>
      </w:pPr>
      <w:r>
        <w:rPr>
          <w:rFonts w:hint="eastAsia" w:ascii="Calibri" w:hAnsi="Calibri" w:eastAsia="仿宋" w:cs="Calibri"/>
          <w:color w:val="333333"/>
          <w:kern w:val="0"/>
          <w:sz w:val="24"/>
          <w:lang w:val="en-US" w:eastAsia="zh-CN"/>
        </w:rPr>
        <w:t>注：作报告应提供盖有公章的证明和现场报告图片等相关佐证材料，学术讲座须提供盖有校院及联合培养单位公章的签到表或证明，或提供官方认定的相关材料，联合培养研究生需提供联合培养计划登记表。</w:t>
      </w:r>
    </w:p>
    <w:p>
      <w:pPr>
        <w:widowControl/>
        <w:shd w:val="clear" w:color="auto" w:fill="FFFFFF"/>
        <w:spacing w:line="360" w:lineRule="atLeast"/>
        <w:ind w:right="720" w:firstLine="0" w:firstLineChars="0"/>
        <w:jc w:val="both"/>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r>
        <w:rPr>
          <w:rFonts w:hint="eastAsia" w:ascii="Calibri" w:hAnsi="Calibri" w:eastAsia="仿宋" w:cs="Calibri"/>
          <w:color w:val="333333"/>
          <w:kern w:val="0"/>
          <w:sz w:val="24"/>
        </w:rPr>
        <w:t>【</w:t>
      </w:r>
      <w:r>
        <w:rPr>
          <w:rFonts w:hint="eastAsia" w:ascii="Calibri" w:hAnsi="Calibri" w:eastAsia="仿宋" w:cs="Calibri"/>
          <w:color w:val="333333"/>
          <w:kern w:val="0"/>
          <w:sz w:val="24"/>
          <w:lang w:val="en-US" w:eastAsia="zh-CN"/>
        </w:rPr>
        <w:t>学术会议获奖</w:t>
      </w:r>
      <w:r>
        <w:rPr>
          <w:rFonts w:hint="eastAsia" w:ascii="Calibri" w:hAnsi="Calibri" w:eastAsia="仿宋" w:cs="Calibri"/>
          <w:color w:val="333333"/>
          <w:kern w:val="0"/>
          <w:sz w:val="24"/>
        </w:rPr>
        <w:t>】</w:t>
      </w:r>
    </w:p>
    <w:tbl>
      <w:tblPr>
        <w:tblStyle w:val="13"/>
        <w:tblpPr w:leftFromText="180" w:rightFromText="180" w:vertAnchor="text" w:horzAnchor="page" w:tblpX="1943" w:tblpY="57"/>
        <w:tblOverlap w:val="never"/>
        <w:tblW w:w="75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7"/>
        <w:gridCol w:w="2068"/>
        <w:gridCol w:w="1521"/>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6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u w:val="none"/>
              </w:rPr>
            </w:pPr>
            <w:r>
              <w:rPr>
                <w:rFonts w:hint="eastAsia" w:ascii="仿宋_GB2312" w:hAnsi="仿宋_GB2312" w:eastAsia="仿宋_GB2312" w:cs="仿宋_GB2312"/>
                <w:color w:val="333333"/>
                <w:kern w:val="0"/>
                <w:sz w:val="24"/>
                <w:u w:val="none"/>
                <w:lang w:val="en-US" w:eastAsia="zh-CN"/>
              </w:rPr>
              <w:t>级别</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等级</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作报告（提交学术论文）获奖加分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提交海报获奖加分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333333"/>
                <w:kern w:val="0"/>
                <w:sz w:val="24"/>
                <w:u w:val="none"/>
              </w:rPr>
              <w:t>国家级</w:t>
            </w:r>
            <w:r>
              <w:rPr>
                <w:rFonts w:hint="eastAsia" w:ascii="仿宋_GB2312" w:hAnsi="仿宋_GB2312" w:eastAsia="仿宋_GB2312" w:cs="仿宋_GB2312"/>
                <w:color w:val="333333"/>
                <w:kern w:val="0"/>
                <w:sz w:val="24"/>
                <w:u w:val="none"/>
                <w:lang w:eastAsia="zh-CN"/>
              </w:rPr>
              <w:t>（</w:t>
            </w:r>
            <w:r>
              <w:rPr>
                <w:rFonts w:hint="eastAsia" w:ascii="仿宋_GB2312" w:hAnsi="仿宋_GB2312" w:eastAsia="仿宋_GB2312" w:cs="仿宋_GB2312"/>
                <w:color w:val="333333"/>
                <w:kern w:val="0"/>
                <w:sz w:val="24"/>
                <w:u w:val="none"/>
                <w:lang w:val="en-US" w:eastAsia="zh-CN"/>
              </w:rPr>
              <w:t>国际级别</w:t>
            </w:r>
            <w:r>
              <w:rPr>
                <w:rFonts w:hint="eastAsia" w:ascii="仿宋_GB2312" w:hAnsi="仿宋_GB2312" w:eastAsia="仿宋_GB2312" w:cs="仿宋_GB2312"/>
                <w:color w:val="333333"/>
                <w:kern w:val="0"/>
                <w:sz w:val="24"/>
                <w:u w:val="none"/>
                <w:lang w:eastAsia="zh-CN"/>
              </w:rPr>
              <w:t>）</w:t>
            </w:r>
            <w:r>
              <w:rPr>
                <w:rFonts w:hint="eastAsia" w:ascii="仿宋_GB2312" w:hAnsi="仿宋_GB2312" w:eastAsia="仿宋_GB2312" w:cs="仿宋_GB2312"/>
                <w:color w:val="333333"/>
                <w:kern w:val="0"/>
                <w:sz w:val="24"/>
                <w:u w:val="none"/>
              </w:rPr>
              <w:t>奖励</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 xml:space="preserve">一等奖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 xml:space="preserve">二等奖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 xml:space="preserve">三等奖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6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不设等级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r>
              <w:rPr>
                <w:rFonts w:hint="eastAsia" w:ascii="仿宋_GB2312" w:hAnsi="仿宋_GB2312" w:eastAsia="仿宋_GB2312" w:cs="仿宋_GB2312"/>
                <w:color w:val="333333"/>
                <w:kern w:val="0"/>
                <w:sz w:val="24"/>
                <w:lang w:bidi="ar"/>
              </w:rPr>
              <w:t>省（部）级奖励</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一等奖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二等奖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三等奖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不设等级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r>
              <w:rPr>
                <w:rFonts w:hint="eastAsia" w:ascii="仿宋_GB2312" w:hAnsi="仿宋_GB2312" w:eastAsia="仿宋_GB2312" w:cs="仿宋_GB2312"/>
                <w:color w:val="333333"/>
                <w:kern w:val="0"/>
                <w:sz w:val="24"/>
                <w:u w:val="none"/>
              </w:rPr>
              <w:t>市级、校级（含校级机关部处、党团组织）奖励</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一等奖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二等奖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三等奖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不设等级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r>
              <w:rPr>
                <w:rFonts w:hint="eastAsia" w:ascii="仿宋_GB2312" w:hAnsi="仿宋_GB2312" w:eastAsia="仿宋_GB2312" w:cs="仿宋_GB2312"/>
                <w:color w:val="333333"/>
                <w:kern w:val="0"/>
                <w:sz w:val="24"/>
                <w:u w:val="none"/>
              </w:rPr>
              <w:t>院级奖励</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一等奖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二等奖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三等奖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不设等级的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w:t>
            </w:r>
          </w:p>
        </w:tc>
      </w:tr>
    </w:tbl>
    <w:p>
      <w:pPr>
        <w:widowControl/>
        <w:shd w:val="clear" w:color="auto" w:fill="FFFFFF"/>
        <w:spacing w:line="360" w:lineRule="atLeast"/>
        <w:ind w:right="720" w:firstLine="0" w:firstLineChars="0"/>
        <w:jc w:val="left"/>
        <w:rPr>
          <w:rFonts w:hint="eastAsia" w:ascii="Calibri" w:hAnsi="Calibri" w:eastAsia="仿宋" w:cs="Calibri"/>
          <w:color w:val="333333"/>
          <w:kern w:val="0"/>
          <w:sz w:val="24"/>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480" w:firstLineChars="200"/>
        <w:jc w:val="left"/>
        <w:rPr>
          <w:rFonts w:hint="default" w:ascii="Calibri" w:hAnsi="Calibri" w:eastAsia="仿宋" w:cs="Calibri"/>
          <w:color w:val="333333"/>
          <w:kern w:val="0"/>
          <w:sz w:val="24"/>
          <w:u w:val="none"/>
          <w:lang w:val="en-US" w:eastAsia="zh-CN"/>
        </w:rPr>
      </w:pPr>
      <w:r>
        <w:rPr>
          <w:rFonts w:hint="eastAsia" w:ascii="Calibri" w:hAnsi="Calibri" w:eastAsia="仿宋" w:cs="Calibri"/>
          <w:color w:val="333333"/>
          <w:kern w:val="0"/>
          <w:sz w:val="24"/>
          <w:lang w:val="en-US" w:eastAsia="zh-CN"/>
        </w:rPr>
        <w:t>注：</w:t>
      </w:r>
      <w:r>
        <w:rPr>
          <w:rFonts w:hint="eastAsia" w:ascii="Calibri" w:hAnsi="Calibri" w:eastAsia="仿宋" w:cs="Calibri"/>
          <w:color w:val="333333"/>
          <w:kern w:val="0"/>
          <w:sz w:val="24"/>
          <w:highlight w:val="none"/>
          <w:u w:val="none"/>
        </w:rPr>
        <w:t>以上各级奖励均应由政府部门、机关单位、党团组织，或国家一级行业学会和协会颁发。</w:t>
      </w:r>
      <w:r>
        <w:rPr>
          <w:rFonts w:hint="eastAsia" w:ascii="Calibri" w:hAnsi="Calibri" w:eastAsia="仿宋" w:cs="Calibri"/>
          <w:color w:val="333333"/>
          <w:kern w:val="0"/>
          <w:sz w:val="24"/>
          <w:highlight w:val="none"/>
          <w:u w:val="none"/>
          <w:lang w:val="en-US" w:eastAsia="zh-CN"/>
        </w:rPr>
        <w:t>具体级别根据所盖公章或者水印等进行综合认定。</w:t>
      </w:r>
      <w:r>
        <w:rPr>
          <w:rFonts w:hint="eastAsia" w:ascii="Calibri" w:hAnsi="Calibri" w:eastAsia="仿宋" w:cs="Calibri"/>
          <w:color w:val="333333"/>
          <w:kern w:val="0"/>
          <w:sz w:val="24"/>
          <w:highlight w:val="none"/>
          <w:u w:val="none"/>
        </w:rPr>
        <w:t>其中排名第</w:t>
      </w:r>
      <w:r>
        <w:rPr>
          <w:rFonts w:ascii="Calibri" w:hAnsi="Calibri" w:eastAsia="仿宋" w:cs="Calibri"/>
          <w:color w:val="333333"/>
          <w:kern w:val="0"/>
          <w:sz w:val="24"/>
          <w:highlight w:val="none"/>
          <w:u w:val="none"/>
        </w:rPr>
        <w:t>1</w:t>
      </w:r>
      <w:r>
        <w:rPr>
          <w:rFonts w:hint="eastAsia" w:ascii="Calibri" w:hAnsi="Calibri" w:eastAsia="仿宋" w:cs="Calibri"/>
          <w:color w:val="333333"/>
          <w:kern w:val="0"/>
          <w:sz w:val="24"/>
          <w:highlight w:val="none"/>
          <w:u w:val="none"/>
        </w:rPr>
        <w:t>名按</w:t>
      </w:r>
      <w:r>
        <w:rPr>
          <w:rFonts w:ascii="Calibri" w:hAnsi="Calibri" w:eastAsia="仿宋" w:cs="Calibri"/>
          <w:color w:val="333333"/>
          <w:kern w:val="0"/>
          <w:sz w:val="24"/>
          <w:highlight w:val="none"/>
          <w:u w:val="none"/>
        </w:rPr>
        <w:t>100%</w:t>
      </w:r>
      <w:r>
        <w:rPr>
          <w:rFonts w:hint="eastAsia" w:ascii="Calibri" w:hAnsi="Calibri" w:eastAsia="仿宋" w:cs="Calibri"/>
          <w:color w:val="333333"/>
          <w:kern w:val="0"/>
          <w:sz w:val="24"/>
          <w:highlight w:val="none"/>
          <w:u w:val="none"/>
        </w:rPr>
        <w:t>标准加分，第</w:t>
      </w:r>
      <w:r>
        <w:rPr>
          <w:rFonts w:ascii="Calibri" w:hAnsi="Calibri" w:eastAsia="仿宋" w:cs="Calibri"/>
          <w:color w:val="333333"/>
          <w:kern w:val="0"/>
          <w:sz w:val="24"/>
          <w:highlight w:val="none"/>
          <w:u w:val="none"/>
        </w:rPr>
        <w:t>2</w:t>
      </w:r>
      <w:r>
        <w:rPr>
          <w:rFonts w:hint="eastAsia" w:ascii="Calibri" w:hAnsi="Calibri" w:eastAsia="仿宋" w:cs="Calibri"/>
          <w:color w:val="333333"/>
          <w:kern w:val="0"/>
          <w:sz w:val="24"/>
          <w:highlight w:val="none"/>
          <w:u w:val="none"/>
        </w:rPr>
        <w:t>、</w:t>
      </w:r>
      <w:r>
        <w:rPr>
          <w:rFonts w:ascii="Calibri" w:hAnsi="Calibri" w:eastAsia="仿宋" w:cs="Calibri"/>
          <w:color w:val="333333"/>
          <w:kern w:val="0"/>
          <w:sz w:val="24"/>
          <w:highlight w:val="none"/>
          <w:u w:val="none"/>
        </w:rPr>
        <w:t>3</w:t>
      </w:r>
      <w:r>
        <w:rPr>
          <w:rFonts w:hint="eastAsia" w:ascii="Calibri" w:hAnsi="Calibri" w:eastAsia="仿宋" w:cs="Calibri"/>
          <w:color w:val="333333"/>
          <w:kern w:val="0"/>
          <w:sz w:val="24"/>
          <w:highlight w:val="none"/>
          <w:u w:val="none"/>
        </w:rPr>
        <w:t>名分别按</w:t>
      </w:r>
      <w:r>
        <w:rPr>
          <w:rFonts w:ascii="Calibri" w:hAnsi="Calibri" w:eastAsia="仿宋" w:cs="Calibri"/>
          <w:color w:val="333333"/>
          <w:kern w:val="0"/>
          <w:sz w:val="24"/>
          <w:highlight w:val="none"/>
          <w:u w:val="none"/>
        </w:rPr>
        <w:t>30%</w:t>
      </w:r>
      <w:r>
        <w:rPr>
          <w:rFonts w:hint="eastAsia" w:ascii="Calibri" w:hAnsi="Calibri" w:eastAsia="仿宋" w:cs="Calibri"/>
          <w:color w:val="333333"/>
          <w:kern w:val="0"/>
          <w:sz w:val="24"/>
          <w:highlight w:val="none"/>
          <w:u w:val="none"/>
        </w:rPr>
        <w:t>、</w:t>
      </w:r>
      <w:r>
        <w:rPr>
          <w:rFonts w:ascii="Calibri" w:hAnsi="Calibri" w:eastAsia="仿宋" w:cs="Calibri"/>
          <w:color w:val="333333"/>
          <w:kern w:val="0"/>
          <w:sz w:val="24"/>
          <w:highlight w:val="none"/>
          <w:u w:val="none"/>
        </w:rPr>
        <w:t>10%</w:t>
      </w:r>
      <w:r>
        <w:rPr>
          <w:rFonts w:hint="eastAsia" w:ascii="Calibri" w:hAnsi="Calibri" w:eastAsia="仿宋" w:cs="Calibri"/>
          <w:color w:val="333333"/>
          <w:kern w:val="0"/>
          <w:sz w:val="24"/>
          <w:highlight w:val="none"/>
          <w:u w:val="none"/>
        </w:rPr>
        <w:t>标准加分，第</w:t>
      </w:r>
      <w:r>
        <w:rPr>
          <w:rFonts w:ascii="Calibri" w:hAnsi="Calibri" w:eastAsia="仿宋" w:cs="Calibri"/>
          <w:color w:val="333333"/>
          <w:kern w:val="0"/>
          <w:sz w:val="24"/>
          <w:highlight w:val="none"/>
          <w:u w:val="none"/>
        </w:rPr>
        <w:t>4</w:t>
      </w:r>
      <w:r>
        <w:rPr>
          <w:rFonts w:hint="eastAsia" w:ascii="Calibri" w:hAnsi="Calibri" w:eastAsia="仿宋" w:cs="Calibri"/>
          <w:color w:val="333333"/>
          <w:kern w:val="0"/>
          <w:sz w:val="24"/>
          <w:highlight w:val="none"/>
          <w:u w:val="none"/>
        </w:rPr>
        <w:t>、</w:t>
      </w:r>
      <w:r>
        <w:rPr>
          <w:rFonts w:ascii="Calibri" w:hAnsi="Calibri" w:eastAsia="仿宋" w:cs="Calibri"/>
          <w:color w:val="333333"/>
          <w:kern w:val="0"/>
          <w:sz w:val="24"/>
          <w:highlight w:val="none"/>
          <w:u w:val="none"/>
        </w:rPr>
        <w:t>5</w:t>
      </w:r>
      <w:r>
        <w:rPr>
          <w:rFonts w:hint="eastAsia" w:ascii="Calibri" w:hAnsi="Calibri" w:eastAsia="仿宋" w:cs="Calibri"/>
          <w:color w:val="333333"/>
          <w:kern w:val="0"/>
          <w:sz w:val="24"/>
          <w:highlight w:val="none"/>
          <w:u w:val="none"/>
        </w:rPr>
        <w:t>名按</w:t>
      </w:r>
      <w:r>
        <w:rPr>
          <w:rFonts w:ascii="Calibri" w:hAnsi="Calibri" w:eastAsia="仿宋" w:cs="Calibri"/>
          <w:color w:val="333333"/>
          <w:kern w:val="0"/>
          <w:sz w:val="24"/>
          <w:highlight w:val="none"/>
          <w:u w:val="none"/>
        </w:rPr>
        <w:t>5%</w:t>
      </w:r>
      <w:r>
        <w:rPr>
          <w:rFonts w:hint="eastAsia" w:ascii="Calibri" w:hAnsi="Calibri" w:eastAsia="仿宋" w:cs="Calibri"/>
          <w:color w:val="333333"/>
          <w:kern w:val="0"/>
          <w:sz w:val="24"/>
          <w:highlight w:val="none"/>
          <w:u w:val="none"/>
        </w:rPr>
        <w:t>标准加分</w:t>
      </w:r>
      <w:r>
        <w:rPr>
          <w:rFonts w:hint="eastAsia" w:ascii="Calibri" w:hAnsi="Calibri" w:eastAsia="仿宋" w:cs="Calibri"/>
          <w:b w:val="0"/>
          <w:bCs w:val="0"/>
          <w:color w:val="333333"/>
          <w:kern w:val="0"/>
          <w:sz w:val="24"/>
          <w:highlight w:val="none"/>
          <w:u w:val="none"/>
        </w:rPr>
        <w:t>。各类奖励的级别</w:t>
      </w:r>
      <w:r>
        <w:rPr>
          <w:rFonts w:hint="eastAsia" w:ascii="Calibri" w:hAnsi="Calibri" w:eastAsia="仿宋" w:cs="Calibri"/>
          <w:color w:val="333333"/>
          <w:kern w:val="0"/>
          <w:sz w:val="24"/>
          <w:highlight w:val="none"/>
          <w:u w:val="none"/>
        </w:rPr>
        <w:t>以所盖的公章为准。以上各级奖励均应提供盖有公章的证明。同一作品（项目</w:t>
      </w:r>
      <w:r>
        <w:rPr>
          <w:rFonts w:hint="eastAsia" w:ascii="Calibri" w:hAnsi="Calibri" w:eastAsia="仿宋" w:cs="Calibri"/>
          <w:color w:val="333333"/>
          <w:kern w:val="0"/>
          <w:sz w:val="24"/>
          <w:highlight w:val="none"/>
          <w:u w:val="none"/>
          <w:lang w:eastAsia="zh-CN"/>
        </w:rPr>
        <w:t>、</w:t>
      </w:r>
      <w:r>
        <w:rPr>
          <w:rFonts w:hint="eastAsia" w:ascii="Calibri" w:hAnsi="Calibri" w:eastAsia="仿宋" w:cs="Calibri"/>
          <w:color w:val="333333"/>
          <w:kern w:val="0"/>
          <w:sz w:val="24"/>
          <w:highlight w:val="none"/>
          <w:u w:val="none"/>
          <w:lang w:val="en-US" w:eastAsia="zh-CN"/>
        </w:rPr>
        <w:t>主题</w:t>
      </w:r>
      <w:r>
        <w:rPr>
          <w:rFonts w:hint="eastAsia" w:ascii="Calibri" w:hAnsi="Calibri" w:eastAsia="仿宋" w:cs="Calibri"/>
          <w:color w:val="333333"/>
          <w:kern w:val="0"/>
          <w:sz w:val="24"/>
          <w:highlight w:val="none"/>
          <w:u w:val="none"/>
        </w:rPr>
        <w:t>）</w:t>
      </w:r>
      <w:r>
        <w:rPr>
          <w:rFonts w:hint="eastAsia" w:ascii="Calibri" w:hAnsi="Calibri" w:eastAsia="仿宋" w:cs="Calibri"/>
          <w:color w:val="333333"/>
          <w:kern w:val="0"/>
          <w:sz w:val="24"/>
          <w:highlight w:val="none"/>
          <w:u w:val="none"/>
          <w:lang w:eastAsia="zh-CN"/>
        </w:rPr>
        <w:t>（</w:t>
      </w:r>
      <w:r>
        <w:rPr>
          <w:rFonts w:hint="eastAsia" w:ascii="Calibri" w:hAnsi="Calibri" w:eastAsia="仿宋" w:cs="Calibri"/>
          <w:color w:val="333333"/>
          <w:kern w:val="0"/>
          <w:sz w:val="24"/>
          <w:highlight w:val="none"/>
          <w:u w:val="none"/>
          <w:lang w:val="en-US" w:eastAsia="zh-CN"/>
        </w:rPr>
        <w:t>不管是否在同一比赛</w:t>
      </w:r>
      <w:r>
        <w:rPr>
          <w:rFonts w:hint="eastAsia" w:ascii="Calibri" w:hAnsi="Calibri" w:eastAsia="仿宋" w:cs="Calibri"/>
          <w:color w:val="333333"/>
          <w:kern w:val="0"/>
          <w:sz w:val="24"/>
          <w:highlight w:val="none"/>
          <w:u w:val="none"/>
          <w:lang w:eastAsia="zh-CN"/>
        </w:rPr>
        <w:t>）</w:t>
      </w:r>
      <w:r>
        <w:rPr>
          <w:rFonts w:hint="eastAsia" w:ascii="Calibri" w:hAnsi="Calibri" w:eastAsia="仿宋" w:cs="Calibri"/>
          <w:color w:val="333333"/>
          <w:kern w:val="0"/>
          <w:sz w:val="24"/>
          <w:highlight w:val="none"/>
          <w:u w:val="none"/>
        </w:rPr>
        <w:t>多次获奖，且获奖时间都发生在当年评优时间内，按最高获奖级别加分。</w:t>
      </w:r>
      <w:r>
        <w:rPr>
          <w:rFonts w:hint="eastAsia" w:ascii="Calibri" w:hAnsi="Calibri" w:eastAsia="仿宋" w:cs="Calibri"/>
          <w:color w:val="333333"/>
          <w:kern w:val="0"/>
          <w:sz w:val="24"/>
          <w:highlight w:val="none"/>
          <w:u w:val="none"/>
          <w:lang w:val="en-US" w:eastAsia="zh-CN"/>
        </w:rPr>
        <w:t>同一学术会议中，获奖分和参与分只能选择加一项。</w:t>
      </w:r>
    </w:p>
    <w:p>
      <w:pPr>
        <w:widowControl/>
        <w:shd w:val="clear" w:color="auto" w:fill="FFFFFF"/>
        <w:spacing w:line="360" w:lineRule="atLeast"/>
        <w:ind w:right="720" w:firstLine="482" w:firstLineChars="200"/>
        <w:jc w:val="left"/>
        <w:rPr>
          <w:rFonts w:hint="eastAsia" w:ascii="Calibri" w:hAnsi="Calibri" w:eastAsia="仿宋" w:cs="Calibri"/>
          <w:b/>
          <w:bCs/>
          <w:color w:val="333333"/>
          <w:kern w:val="0"/>
          <w:sz w:val="24"/>
          <w:u w:val="none"/>
        </w:rPr>
      </w:pPr>
    </w:p>
    <w:p>
      <w:pPr>
        <w:widowControl/>
        <w:shd w:val="clear" w:color="auto" w:fill="FFFFFF"/>
        <w:spacing w:line="360" w:lineRule="atLeast"/>
        <w:ind w:right="720" w:firstLine="482" w:firstLineChars="200"/>
        <w:jc w:val="left"/>
        <w:rPr>
          <w:rFonts w:ascii="Calibri" w:hAnsi="Calibri" w:eastAsia="仿宋" w:cs="Calibri"/>
          <w:color w:val="333333"/>
          <w:kern w:val="0"/>
          <w:sz w:val="24"/>
          <w:u w:val="none"/>
        </w:rPr>
      </w:pPr>
      <w:r>
        <w:rPr>
          <w:rFonts w:hint="eastAsia" w:ascii="Calibri" w:hAnsi="Calibri" w:eastAsia="仿宋" w:cs="Calibri"/>
          <w:b/>
          <w:bCs/>
          <w:color w:val="333333"/>
          <w:kern w:val="0"/>
          <w:sz w:val="24"/>
          <w:u w:val="none"/>
        </w:rPr>
        <w:t>**特别说明：以上关于研究生老生的参评科研成果，必须以华南农业大学为第一署名单位为华南农业大学。</w:t>
      </w:r>
      <w:r>
        <w:rPr>
          <w:rFonts w:hint="eastAsia" w:ascii="Calibri" w:hAnsi="Calibri" w:eastAsia="仿宋" w:cs="Calibri"/>
          <w:b/>
          <w:bCs/>
          <w:color w:val="333333"/>
          <w:kern w:val="0"/>
          <w:sz w:val="24"/>
          <w:u w:val="none"/>
          <w:lang w:val="en-US" w:eastAsia="zh-CN"/>
        </w:rPr>
        <w:t>除条例中说明，</w:t>
      </w:r>
      <w:r>
        <w:rPr>
          <w:rFonts w:hint="eastAsia" w:ascii="Calibri" w:hAnsi="Calibri" w:eastAsia="仿宋" w:cs="Calibri"/>
          <w:b/>
          <w:bCs/>
          <w:color w:val="333333"/>
          <w:kern w:val="0"/>
          <w:sz w:val="24"/>
          <w:u w:val="none"/>
        </w:rPr>
        <w:t>所有成果的排名不分导师和学生。</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③思想道德与社会实践（C）</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思想道德与社会实践满分为20分，其中自评分满分为10分，成果分满分为10分</w:t>
      </w:r>
      <w:r>
        <w:rPr>
          <w:rFonts w:hint="eastAsia" w:ascii="Calibri" w:hAnsi="Calibri" w:eastAsia="仿宋" w:cs="Calibri"/>
          <w:color w:val="333333"/>
          <w:kern w:val="0"/>
          <w:sz w:val="24"/>
          <w:lang w:eastAsia="zh-CN"/>
        </w:rPr>
        <w:t>。</w:t>
      </w:r>
      <w:r>
        <w:rPr>
          <w:rFonts w:hint="eastAsia" w:ascii="Calibri" w:hAnsi="Calibri" w:eastAsia="仿宋" w:cs="Calibri"/>
          <w:color w:val="333333"/>
          <w:kern w:val="0"/>
          <w:sz w:val="24"/>
        </w:rPr>
        <w:t>成果主要包括以下几个方面：</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r>
        <w:rPr>
          <w:rFonts w:hint="eastAsia" w:ascii="Calibri" w:hAnsi="Calibri" w:eastAsia="仿宋" w:cs="Calibri"/>
          <w:color w:val="333333"/>
          <w:kern w:val="0"/>
          <w:sz w:val="24"/>
        </w:rPr>
        <w:t>【荣誉称号或奖励】</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r>
        <w:rPr>
          <w:rFonts w:hint="eastAsia" w:ascii="Calibri" w:hAnsi="Calibri" w:eastAsia="仿宋" w:cs="Calibri"/>
          <w:color w:val="333333"/>
          <w:kern w:val="0"/>
          <w:sz w:val="24"/>
        </w:rPr>
        <w:t>获得院级及以上级别荣誉称号或奖励的（包括文体活动、思想道德建设等竞赛或评优活动），根据获奖级别和荣誉称号予以加分。</w:t>
      </w:r>
    </w:p>
    <w:tbl>
      <w:tblPr>
        <w:tblStyle w:val="13"/>
        <w:tblW w:w="7603"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5"/>
        <w:gridCol w:w="1275"/>
        <w:gridCol w:w="793"/>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4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u w:val="none"/>
                <w:lang w:val="en-US" w:eastAsia="zh-CN"/>
              </w:rPr>
            </w:pPr>
            <w:r>
              <w:rPr>
                <w:rFonts w:hint="eastAsia" w:ascii="仿宋_GB2312" w:hAnsi="仿宋_GB2312" w:eastAsia="仿宋_GB2312" w:cs="仿宋_GB2312"/>
                <w:color w:val="333333"/>
                <w:kern w:val="0"/>
                <w:sz w:val="24"/>
                <w:u w:val="none"/>
                <w:lang w:val="en-US" w:eastAsia="zh-CN"/>
              </w:rPr>
              <w:t>级别</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等级</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个人荣誉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集体荣誉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4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333333"/>
                <w:kern w:val="0"/>
                <w:sz w:val="24"/>
                <w:u w:val="none"/>
              </w:rPr>
              <w:t>国家级</w:t>
            </w:r>
            <w:r>
              <w:rPr>
                <w:rFonts w:hint="eastAsia" w:ascii="仿宋_GB2312" w:hAnsi="仿宋_GB2312" w:eastAsia="仿宋_GB2312" w:cs="仿宋_GB2312"/>
                <w:color w:val="000000"/>
                <w:sz w:val="24"/>
                <w:szCs w:val="24"/>
                <w:u w:val="none"/>
              </w:rPr>
              <w:t>优秀研究生、优秀研究生干部、优秀党员、优秀团员、大学生年度人物和“三下乡”社会实践活动优秀个人荣誉称号的个人，以及获得先进（样板）党支部、先进（样板）团支部、先进班集体和“三下乡”社会实践活动优秀团体荣誉称号的集体</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 xml:space="preserve">一等奖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7" w:hRule="atLeast"/>
        </w:trPr>
        <w:tc>
          <w:tcPr>
            <w:tcW w:w="44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 xml:space="preserve">二等奖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4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 xml:space="preserve">三等奖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44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r>
              <w:rPr>
                <w:rFonts w:hint="eastAsia" w:ascii="仿宋_GB2312" w:hAnsi="仿宋_GB2312" w:eastAsia="仿宋_GB2312" w:cs="仿宋_GB2312"/>
                <w:color w:val="333333"/>
                <w:kern w:val="0"/>
                <w:sz w:val="24"/>
                <w:lang w:bidi="ar"/>
              </w:rPr>
              <w:t>省（部）级</w:t>
            </w:r>
            <w:r>
              <w:rPr>
                <w:rFonts w:hint="eastAsia" w:ascii="仿宋_GB2312" w:hAnsi="仿宋_GB2312" w:eastAsia="仿宋_GB2312" w:cs="仿宋_GB2312"/>
                <w:color w:val="000000"/>
                <w:sz w:val="24"/>
                <w:szCs w:val="24"/>
                <w:u w:val="none"/>
              </w:rPr>
              <w:t>优秀研究生、优秀研究生干部、优秀党员、优秀团员、大学生年度人物和“三下乡”社会实践活动优秀个人荣誉称号的个人，以及获得先进（样板）党支部、先进（样板）团支部、先进班集体和“三下乡”社会实践活动优秀团体荣誉称号的集体</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一等奖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二等奖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三等奖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44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eastAsia="zh-CN" w:bidi="ar"/>
              </w:rPr>
            </w:pPr>
            <w:r>
              <w:rPr>
                <w:rFonts w:hint="eastAsia" w:ascii="仿宋_GB2312" w:hAnsi="仿宋_GB2312" w:eastAsia="仿宋_GB2312" w:cs="仿宋_GB2312"/>
                <w:color w:val="333333"/>
                <w:kern w:val="0"/>
                <w:sz w:val="24"/>
              </w:rPr>
              <w:t>其他省级以上个人或集体的荣誉称号或奖励</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000000"/>
                <w:sz w:val="24"/>
                <w:szCs w:val="24"/>
                <w:u w:val="none"/>
              </w:rPr>
              <w:t>市级、“华南农业大学”或者“中共华南农业大学委员会”颁发的荣誉称号或奖励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一等奖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二等奖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三等奖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校级各机关部处、党团组织和学生会颁发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一等奖  </w:t>
            </w:r>
            <w:r>
              <w:rPr>
                <w:rFonts w:hint="eastAsia" w:ascii="仿宋_GB2312" w:hAnsi="仿宋_GB2312" w:eastAsia="仿宋_GB2312" w:cs="仿宋_GB2312"/>
                <w:i w:val="0"/>
                <w:iCs w:val="0"/>
                <w:color w:val="000000"/>
                <w:kern w:val="0"/>
                <w:sz w:val="24"/>
                <w:szCs w:val="24"/>
                <w:u w:val="none"/>
                <w:lang w:val="en-US" w:eastAsia="zh-CN" w:bidi="ar"/>
              </w:rPr>
              <w:t xml:space="preserve">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二等奖 </w:t>
            </w:r>
            <w:r>
              <w:rPr>
                <w:rFonts w:hint="eastAsia" w:ascii="仿宋_GB2312" w:hAnsi="仿宋_GB2312" w:eastAsia="仿宋_GB2312" w:cs="仿宋_GB2312"/>
                <w:i w:val="0"/>
                <w:iCs w:val="0"/>
                <w:color w:val="000000"/>
                <w:kern w:val="0"/>
                <w:sz w:val="24"/>
                <w:szCs w:val="24"/>
                <w:u w:val="none"/>
                <w:lang w:val="en-US" w:eastAsia="zh-CN" w:bidi="ar"/>
              </w:rPr>
              <w:t xml:space="preserve">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三等奖 </w:t>
            </w:r>
            <w:r>
              <w:rPr>
                <w:rFonts w:hint="eastAsia" w:ascii="仿宋_GB2312" w:hAnsi="仿宋_GB2312" w:eastAsia="仿宋_GB2312" w:cs="仿宋_GB2312"/>
                <w:i w:val="0"/>
                <w:iCs w:val="0"/>
                <w:color w:val="000000"/>
                <w:kern w:val="0"/>
                <w:sz w:val="24"/>
                <w:szCs w:val="24"/>
                <w:u w:val="none"/>
                <w:lang w:val="en-US" w:eastAsia="zh-CN" w:bidi="ar"/>
              </w:rPr>
              <w:t xml:space="preserve">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rPr>
              <w:t>院级</w:t>
            </w:r>
            <w:r>
              <w:rPr>
                <w:rFonts w:hint="eastAsia" w:ascii="仿宋_GB2312" w:hAnsi="仿宋_GB2312" w:eastAsia="仿宋_GB2312" w:cs="仿宋_GB2312"/>
                <w:color w:val="333333"/>
                <w:kern w:val="0"/>
                <w:sz w:val="24"/>
                <w:lang w:val="en-US" w:eastAsia="zh-CN"/>
              </w:rPr>
              <w:t>奖励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一等奖  </w:t>
            </w:r>
            <w:r>
              <w:rPr>
                <w:rFonts w:hint="eastAsia" w:ascii="仿宋_GB2312" w:hAnsi="仿宋_GB2312" w:eastAsia="仿宋_GB2312" w:cs="仿宋_GB2312"/>
                <w:i w:val="0"/>
                <w:iCs w:val="0"/>
                <w:color w:val="000000"/>
                <w:kern w:val="0"/>
                <w:sz w:val="24"/>
                <w:szCs w:val="24"/>
                <w:u w:val="none"/>
                <w:lang w:val="en-US" w:eastAsia="zh-CN" w:bidi="ar"/>
              </w:rPr>
              <w:t xml:space="preserve">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4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二等奖  </w:t>
            </w:r>
            <w:r>
              <w:rPr>
                <w:rFonts w:hint="eastAsia" w:ascii="仿宋_GB2312" w:hAnsi="仿宋_GB2312" w:eastAsia="仿宋_GB2312" w:cs="仿宋_GB2312"/>
                <w:i w:val="0"/>
                <w:iCs w:val="0"/>
                <w:color w:val="000000"/>
                <w:kern w:val="0"/>
                <w:sz w:val="24"/>
                <w:szCs w:val="24"/>
                <w:u w:val="none"/>
                <w:lang w:val="en-US" w:eastAsia="zh-CN" w:bidi="ar"/>
              </w:rPr>
              <w:t xml:space="preserve">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8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333333"/>
                <w:kern w:val="0"/>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三等奖  </w:t>
            </w:r>
            <w:r>
              <w:rPr>
                <w:rFonts w:hint="eastAsia" w:ascii="仿宋_GB2312" w:hAnsi="仿宋_GB2312" w:eastAsia="仿宋_GB2312" w:cs="仿宋_GB2312"/>
                <w:i w:val="0"/>
                <w:iCs w:val="0"/>
                <w:color w:val="000000"/>
                <w:kern w:val="0"/>
                <w:sz w:val="24"/>
                <w:szCs w:val="24"/>
                <w:u w:val="none"/>
                <w:lang w:val="en-US" w:eastAsia="zh-CN" w:bidi="ar"/>
              </w:rPr>
              <w:t xml:space="preserve">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0.25</w:t>
            </w:r>
          </w:p>
        </w:tc>
      </w:tr>
    </w:tbl>
    <w:p>
      <w:pPr>
        <w:widowControl/>
        <w:shd w:val="clear" w:color="auto" w:fill="FFFFFF"/>
        <w:spacing w:line="360" w:lineRule="atLeast"/>
        <w:ind w:right="720" w:firstLine="480" w:firstLineChars="200"/>
        <w:jc w:val="left"/>
        <w:rPr>
          <w:rFonts w:hint="eastAsia" w:ascii="仿宋_GB2312" w:hAnsi="仿宋_GB2312" w:eastAsia="仿宋_GB2312" w:cs="仿宋_GB2312"/>
          <w:color w:val="333333"/>
          <w:kern w:val="0"/>
          <w:sz w:val="24"/>
          <w:highlight w:val="none"/>
        </w:rPr>
      </w:pPr>
      <w:r>
        <w:rPr>
          <w:rFonts w:hint="eastAsia" w:ascii="仿宋_GB2312" w:hAnsi="仿宋_GB2312" w:eastAsia="仿宋_GB2312" w:cs="仿宋_GB2312"/>
          <w:color w:val="333333"/>
          <w:kern w:val="0"/>
          <w:sz w:val="24"/>
          <w:lang w:val="en-US" w:eastAsia="zh-CN"/>
        </w:rPr>
        <w:t>注：</w:t>
      </w:r>
      <w:r>
        <w:rPr>
          <w:rFonts w:hint="eastAsia" w:ascii="仿宋_GB2312" w:hAnsi="仿宋_GB2312" w:eastAsia="仿宋_GB2312" w:cs="仿宋_GB2312"/>
          <w:color w:val="333333"/>
          <w:kern w:val="0"/>
          <w:sz w:val="24"/>
        </w:rPr>
        <w:t>以上</w:t>
      </w:r>
      <w:r>
        <w:rPr>
          <w:rFonts w:hint="eastAsia" w:ascii="仿宋_GB2312" w:hAnsi="仿宋_GB2312" w:eastAsia="仿宋_GB2312" w:cs="仿宋_GB2312"/>
          <w:color w:val="000000"/>
          <w:sz w:val="24"/>
          <w:szCs w:val="24"/>
          <w:u w:val="none"/>
        </w:rPr>
        <w:t>若只设名次的荣誉称号或奖励，第一名参照一等奖标准，第二、三名参照二等奖标准，第四至第十名参照三等奖标准。不设等级和名次的荣誉称号或奖励，一律按二等奖标准加分</w:t>
      </w:r>
      <w:r>
        <w:rPr>
          <w:rFonts w:hint="eastAsia" w:ascii="仿宋_GB2312" w:hAnsi="仿宋_GB2312" w:eastAsia="仿宋_GB2312" w:cs="仿宋_GB2312"/>
          <w:color w:val="000000"/>
          <w:sz w:val="24"/>
          <w:szCs w:val="24"/>
          <w:u w:val="none"/>
          <w:lang w:eastAsia="zh-CN"/>
        </w:rPr>
        <w:t>。</w:t>
      </w:r>
      <w:r>
        <w:rPr>
          <w:rFonts w:hint="eastAsia" w:ascii="仿宋_GB2312" w:hAnsi="仿宋_GB2312" w:eastAsia="仿宋_GB2312" w:cs="仿宋_GB2312"/>
          <w:color w:val="333333"/>
          <w:kern w:val="0"/>
          <w:sz w:val="24"/>
        </w:rPr>
        <w:t>各级荣誉或奖励，均应由政府部门、机关单位或党团组织颁发。</w:t>
      </w:r>
      <w:r>
        <w:rPr>
          <w:rFonts w:hint="eastAsia" w:ascii="仿宋_GB2312" w:hAnsi="仿宋_GB2312" w:eastAsia="仿宋_GB2312" w:cs="仿宋_GB2312"/>
          <w:color w:val="333333"/>
          <w:kern w:val="0"/>
          <w:sz w:val="24"/>
          <w:highlight w:val="none"/>
        </w:rPr>
        <w:t>以上荣誉，个人荣誉和集体荣誉都可以各加2项，但（个人或集体）的第二项荣誉加分需减半（可分别选最高分项提交材料）。</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highlight w:val="none"/>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【担任学生干部】</w:t>
      </w:r>
    </w:p>
    <w:tbl>
      <w:tblPr>
        <w:tblStyle w:val="13"/>
        <w:tblpPr w:leftFromText="180" w:rightFromText="180" w:vertAnchor="text" w:horzAnchor="page" w:tblpX="1814" w:tblpY="70"/>
        <w:tblOverlap w:val="never"/>
        <w:tblW w:w="77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8"/>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职务</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加分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校院团委副书记、团委研究生部主任团成员，研究生会主席团成员，媒体中心主任团成员，党务工作室主任（副主任），院心理站站长</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党支部书记（副书记），校院团委、研究生会部门负责人，党务工作室部门负责人、院心理站部门负责人、班长（团支书）、年级委员会委员</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6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党团支部支委、班委委员、校院级研究生组织和院心理站的工作人员</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学院助班</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88" w:type="dxa"/>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18" w:type="dxa"/>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706" w:type="dxa"/>
            <w:gridSpan w:val="2"/>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注：以上担任学生干部均需超过半年，且能认真履行工作职责者，担任多个职务的，只能加2个职务分，按（最高职务分加次高职务分*0.5）加分</w:t>
            </w: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706" w:type="dxa"/>
            <w:gridSpan w:val="2"/>
            <w:vMerge w:val="continue"/>
            <w:tcBorders>
              <w:top w:val="nil"/>
              <w:left w:val="nil"/>
              <w:bottom w:val="nil"/>
              <w:right w:val="nil"/>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bl>
    <w:p>
      <w:pPr>
        <w:widowControl/>
        <w:shd w:val="clear" w:color="auto" w:fill="FFFFFF"/>
        <w:spacing w:line="360" w:lineRule="atLeast"/>
        <w:ind w:right="720" w:firstLine="0" w:firstLineChars="0"/>
        <w:jc w:val="left"/>
        <w:rPr>
          <w:rFonts w:hint="eastAsia" w:ascii="Calibri" w:hAnsi="Calibri" w:eastAsia="仿宋" w:cs="Calibri"/>
          <w:color w:val="333333"/>
          <w:kern w:val="0"/>
          <w:sz w:val="24"/>
          <w:u w:val="none"/>
        </w:rPr>
      </w:pP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u w:val="none"/>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u w:val="none"/>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u w:val="none"/>
        </w:rPr>
      </w:pPr>
      <w:r>
        <w:rPr>
          <w:rFonts w:hint="eastAsia" w:ascii="Calibri" w:hAnsi="Calibri" w:eastAsia="仿宋" w:cs="Calibri"/>
          <w:color w:val="333333"/>
          <w:kern w:val="0"/>
          <w:sz w:val="24"/>
          <w:u w:val="none"/>
        </w:rPr>
        <w:t>【</w:t>
      </w:r>
      <w:r>
        <w:rPr>
          <w:rFonts w:hint="eastAsia" w:ascii="Calibri" w:hAnsi="Calibri" w:eastAsia="仿宋" w:cs="Calibri"/>
          <w:color w:val="333333"/>
          <w:kern w:val="0"/>
          <w:sz w:val="24"/>
          <w:u w:val="none"/>
          <w:lang w:val="en-US" w:eastAsia="zh-CN"/>
        </w:rPr>
        <w:t>思政项目参与分</w:t>
      </w:r>
      <w:r>
        <w:rPr>
          <w:rFonts w:hint="eastAsia" w:ascii="Calibri" w:hAnsi="Calibri" w:eastAsia="仿宋" w:cs="Calibri"/>
          <w:color w:val="333333"/>
          <w:kern w:val="0"/>
          <w:sz w:val="24"/>
          <w:u w:val="none"/>
        </w:rPr>
        <w:t>】</w:t>
      </w:r>
    </w:p>
    <w:tbl>
      <w:tblPr>
        <w:tblStyle w:val="13"/>
        <w:tblpPr w:leftFromText="180" w:rightFromText="180" w:vertAnchor="text" w:horzAnchor="page" w:tblpX="1803" w:tblpY="69"/>
        <w:tblOverlap w:val="never"/>
        <w:tblW w:w="77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31"/>
        <w:gridCol w:w="3085"/>
        <w:gridCol w:w="2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级别</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加分 </w:t>
            </w: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 </w:t>
            </w:r>
          </w:p>
        </w:tc>
        <w:tc>
          <w:tcPr>
            <w:tcW w:w="2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负责人：加100%；</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成员：加50%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市级/校级</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院级</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bl>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u w:val="single"/>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r>
        <w:rPr>
          <w:rFonts w:hint="eastAsia" w:ascii="Calibri" w:hAnsi="Calibri" w:eastAsia="仿宋" w:cs="Calibri"/>
          <w:color w:val="333333"/>
          <w:kern w:val="0"/>
          <w:sz w:val="24"/>
          <w:lang w:val="en-US" w:eastAsia="zh-CN"/>
        </w:rPr>
        <w:t>注：</w:t>
      </w:r>
      <w:r>
        <w:rPr>
          <w:rFonts w:hint="eastAsia" w:ascii="Calibri" w:hAnsi="Calibri" w:eastAsia="仿宋" w:cs="Calibri"/>
          <w:color w:val="333333"/>
          <w:kern w:val="0"/>
          <w:sz w:val="24"/>
          <w:u w:val="single"/>
        </w:rPr>
        <w:t>项目需由政府部门、党团组织主办。各类奖励的级别以所盖的公章为准。个人荣誉和集体荣誉都可以各加2项，但（个人或集体）的第二项荣誉加分需减半（可分别选最高分项提交材料）。</w:t>
      </w:r>
    </w:p>
    <w:p>
      <w:pPr>
        <w:widowControl/>
        <w:shd w:val="clear" w:color="auto" w:fill="FFFFFF"/>
        <w:spacing w:line="360" w:lineRule="atLeast"/>
        <w:ind w:right="720" w:firstLine="0" w:firstLineChars="0"/>
        <w:jc w:val="left"/>
        <w:rPr>
          <w:rFonts w:hint="eastAsia"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r>
        <w:rPr>
          <w:rFonts w:hint="eastAsia" w:ascii="Calibri" w:hAnsi="Calibri" w:eastAsia="仿宋" w:cs="Calibri"/>
          <w:color w:val="333333"/>
          <w:kern w:val="0"/>
          <w:sz w:val="24"/>
        </w:rPr>
        <w:t>【思政学习</w:t>
      </w:r>
      <w:r>
        <w:rPr>
          <w:rFonts w:hint="eastAsia" w:ascii="Calibri" w:hAnsi="Calibri" w:eastAsia="仿宋" w:cs="Calibri"/>
          <w:i w:val="0"/>
          <w:iCs w:val="0"/>
          <w:color w:val="333333"/>
          <w:kern w:val="0"/>
          <w:sz w:val="24"/>
          <w:szCs w:val="24"/>
          <w:u w:val="none"/>
          <w:lang w:val="en-US" w:eastAsia="zh-CN" w:bidi="ar"/>
        </w:rPr>
        <w:t>与其他项目加分</w:t>
      </w:r>
      <w:r>
        <w:rPr>
          <w:rFonts w:hint="eastAsia" w:ascii="Calibri" w:hAnsi="Calibri" w:eastAsia="仿宋" w:cs="Calibri"/>
          <w:color w:val="333333"/>
          <w:kern w:val="0"/>
          <w:sz w:val="24"/>
        </w:rPr>
        <w:t>】</w:t>
      </w:r>
    </w:p>
    <w:tbl>
      <w:tblPr>
        <w:tblStyle w:val="13"/>
        <w:tblpPr w:leftFromText="180" w:rightFromText="180" w:vertAnchor="text" w:horzAnchor="page" w:tblpX="1803" w:tblpY="71"/>
        <w:tblOverlap w:val="never"/>
        <w:tblW w:w="76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7"/>
        <w:gridCol w:w="401"/>
        <w:gridCol w:w="477"/>
        <w:gridCol w:w="3965"/>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思政学习（2分）</w:t>
            </w:r>
          </w:p>
        </w:tc>
        <w:tc>
          <w:tcPr>
            <w:tcW w:w="8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青年大学习（1分）</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观看情况</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加分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全部按时学习的学生</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333333"/>
                <w:kern w:val="0"/>
                <w:sz w:val="24"/>
              </w:rPr>
              <w:t>1</w:t>
            </w:r>
            <w:r>
              <w:rPr>
                <w:rFonts w:hint="eastAsia" w:ascii="仿宋_GB2312" w:hAnsi="仿宋_GB2312" w:eastAsia="仿宋_GB2312" w:cs="仿宋_GB2312"/>
                <w:color w:val="333333"/>
                <w:kern w:val="0"/>
                <w:sz w:val="24"/>
                <w:lang w:val="en-US" w:eastAsia="zh-CN"/>
              </w:rPr>
              <w:t>-</w:t>
            </w:r>
            <w:r>
              <w:rPr>
                <w:rFonts w:hint="eastAsia" w:ascii="仿宋_GB2312" w:hAnsi="仿宋_GB2312" w:eastAsia="仿宋_GB2312" w:cs="仿宋_GB2312"/>
                <w:color w:val="333333"/>
                <w:kern w:val="0"/>
                <w:sz w:val="24"/>
              </w:rPr>
              <w:t>2次(含2次)未按时学习的</w:t>
            </w:r>
            <w:r>
              <w:rPr>
                <w:rFonts w:hint="eastAsia" w:ascii="仿宋_GB2312" w:hAnsi="仿宋_GB2312" w:eastAsia="仿宋_GB2312" w:cs="仿宋_GB2312"/>
                <w:color w:val="333333"/>
                <w:kern w:val="0"/>
                <w:sz w:val="24"/>
                <w:lang w:val="en-US" w:eastAsia="zh-CN"/>
              </w:rPr>
              <w:t>学生</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333333"/>
                <w:kern w:val="0"/>
                <w:sz w:val="24"/>
              </w:rPr>
              <w:t>3次以上(含3次)未按时学习但观看期数占总期数达60%以上的</w:t>
            </w:r>
            <w:r>
              <w:rPr>
                <w:rFonts w:hint="eastAsia" w:ascii="仿宋_GB2312" w:hAnsi="仿宋_GB2312" w:eastAsia="仿宋_GB2312" w:cs="仿宋_GB2312"/>
                <w:color w:val="333333"/>
                <w:kern w:val="0"/>
                <w:sz w:val="24"/>
                <w:lang w:val="en-US" w:eastAsia="zh-CN"/>
              </w:rPr>
              <w:t>学生</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8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其他思政、非学术讲座（1分）</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其他项目（2分）</w:t>
            </w:r>
          </w:p>
        </w:tc>
        <w:tc>
          <w:tcPr>
            <w:tcW w:w="48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文体活动（1分）</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8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三下乡</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回乡调研（</w:t>
            </w:r>
            <w:r>
              <w:rPr>
                <w:rFonts w:hint="eastAsia" w:ascii="仿宋_GB2312" w:hAnsi="仿宋_GB2312" w:eastAsia="仿宋_GB2312" w:cs="仿宋_GB2312"/>
                <w:i w:val="0"/>
                <w:iCs w:val="0"/>
                <w:color w:val="000000"/>
                <w:kern w:val="0"/>
                <w:sz w:val="24"/>
                <w:szCs w:val="24"/>
                <w:u w:val="none"/>
                <w:lang w:val="en-US" w:eastAsia="zh-CN" w:bidi="ar"/>
              </w:rPr>
              <w:t>分别只加1次</w:t>
            </w:r>
            <w:r>
              <w:rPr>
                <w:rFonts w:hint="eastAsia" w:ascii="仿宋_GB2312" w:hAnsi="仿宋_GB2312" w:eastAsia="仿宋_GB2312" w:cs="仿宋_GB2312"/>
                <w:i w:val="0"/>
                <w:iCs w:val="0"/>
                <w:color w:val="000000"/>
                <w:kern w:val="0"/>
                <w:sz w:val="24"/>
                <w:szCs w:val="24"/>
                <w:u w:val="none"/>
                <w:lang w:val="en-US" w:eastAsia="zh-CN" w:bidi="ar"/>
              </w:rPr>
              <w:t>）</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领队：0.5；</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成员：0.2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8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01"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77"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965"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778"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18" w:type="dxa"/>
            <w:gridSpan w:val="5"/>
            <w:vMerge w:val="restart"/>
            <w:tcBorders>
              <w:top w:val="nil"/>
              <w:left w:val="nil"/>
              <w:bottom w:val="nil"/>
              <w:right w:val="nil"/>
            </w:tcBorders>
            <w:shd w:val="clear" w:color="auto" w:fill="auto"/>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333333"/>
                <w:kern w:val="0"/>
                <w:sz w:val="24"/>
                <w:szCs w:val="24"/>
                <w:u w:val="single"/>
                <w:lang w:val="en-US" w:eastAsia="zh-CN" w:bidi="ar"/>
              </w:rPr>
              <w:t>注：学院在活动前说明有加分的方可申请加分，具体以活动通知及公示计分；同一立项项目团队成员限加一次分；三下乡实践活动</w:t>
            </w:r>
            <w:r>
              <w:rPr>
                <w:rFonts w:hint="eastAsia" w:ascii="仿宋_GB2312" w:hAnsi="仿宋_GB2312" w:eastAsia="仿宋_GB2312" w:cs="仿宋_GB2312"/>
                <w:color w:val="333333"/>
                <w:kern w:val="0"/>
                <w:sz w:val="24"/>
                <w:u w:val="single"/>
              </w:rPr>
              <w:t>和“回乡调研”</w:t>
            </w:r>
            <w:r>
              <w:rPr>
                <w:rFonts w:hint="eastAsia" w:ascii="仿宋_GB2312" w:hAnsi="仿宋_GB2312" w:eastAsia="仿宋_GB2312" w:cs="仿宋_GB2312"/>
                <w:i w:val="0"/>
                <w:iCs w:val="0"/>
                <w:color w:val="333333"/>
                <w:kern w:val="0"/>
                <w:sz w:val="24"/>
                <w:szCs w:val="24"/>
                <w:u w:val="single"/>
                <w:lang w:val="en-US" w:eastAsia="zh-CN" w:bidi="ar"/>
              </w:rPr>
              <w:t>需以学校、学院公示名单或出具的证明为准，未公示或提供证明的名单不能加分，加分需要提供现场图片及相关材料；由实验室自行组织但未在学院备案的各类实践活动，均不能加分。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18" w:type="dxa"/>
            <w:gridSpan w:val="5"/>
            <w:vMerge w:val="continue"/>
            <w:tcBorders>
              <w:top w:val="nil"/>
              <w:left w:val="nil"/>
              <w:bottom w:val="nil"/>
              <w:right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18" w:type="dxa"/>
            <w:gridSpan w:val="5"/>
            <w:vMerge w:val="continue"/>
            <w:tcBorders>
              <w:top w:val="nil"/>
              <w:left w:val="nil"/>
              <w:bottom w:val="nil"/>
              <w:right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18" w:type="dxa"/>
            <w:gridSpan w:val="5"/>
            <w:vMerge w:val="continue"/>
            <w:tcBorders>
              <w:top w:val="nil"/>
              <w:left w:val="nil"/>
              <w:bottom w:val="nil"/>
              <w:right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18" w:type="dxa"/>
            <w:gridSpan w:val="5"/>
            <w:vMerge w:val="continue"/>
            <w:tcBorders>
              <w:top w:val="nil"/>
              <w:left w:val="nil"/>
              <w:bottom w:val="nil"/>
              <w:right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bl>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④扣分（D）</w:t>
      </w:r>
    </w:p>
    <w:p>
      <w:pPr>
        <w:widowControl/>
        <w:shd w:val="clear" w:color="auto" w:fill="FFFFFF"/>
        <w:spacing w:line="360" w:lineRule="atLeast"/>
        <w:ind w:right="720" w:firstLine="480" w:firstLineChars="200"/>
        <w:jc w:val="left"/>
        <w:rPr>
          <w:rFonts w:ascii="Calibri" w:hAnsi="Calibri" w:eastAsia="仿宋" w:cs="Calibri"/>
          <w:color w:val="333333"/>
          <w:kern w:val="0"/>
          <w:sz w:val="24"/>
          <w:u w:val="single"/>
        </w:rPr>
      </w:pPr>
      <w:r>
        <w:rPr>
          <w:rFonts w:hint="eastAsia" w:ascii="Calibri" w:hAnsi="Calibri" w:eastAsia="仿宋" w:cs="Calibri"/>
          <w:color w:val="333333"/>
          <w:kern w:val="0"/>
          <w:sz w:val="24"/>
          <w:u w:val="single"/>
        </w:rPr>
        <w:t>参评年度，受到学院通报批评的，第一次扣</w:t>
      </w:r>
      <w:r>
        <w:rPr>
          <w:rFonts w:hint="eastAsia" w:ascii="Calibri" w:hAnsi="Calibri" w:eastAsia="仿宋" w:cs="Calibri"/>
          <w:color w:val="333333"/>
          <w:kern w:val="0"/>
          <w:sz w:val="24"/>
          <w:u w:val="single"/>
          <w:lang w:val="en-US" w:eastAsia="zh-CN"/>
        </w:rPr>
        <w:t>2</w:t>
      </w:r>
      <w:r>
        <w:rPr>
          <w:rFonts w:hint="eastAsia" w:ascii="Calibri" w:hAnsi="Calibri" w:eastAsia="仿宋" w:cs="Calibri"/>
          <w:color w:val="333333"/>
          <w:kern w:val="0"/>
          <w:sz w:val="24"/>
          <w:u w:val="single"/>
        </w:rPr>
        <w:t>分，第二次及之后的每次扣</w:t>
      </w:r>
      <w:r>
        <w:rPr>
          <w:rFonts w:hint="eastAsia" w:ascii="Calibri" w:hAnsi="Calibri" w:eastAsia="仿宋" w:cs="Calibri"/>
          <w:color w:val="333333"/>
          <w:kern w:val="0"/>
          <w:sz w:val="24"/>
          <w:u w:val="single"/>
          <w:lang w:val="en-US" w:eastAsia="zh-CN"/>
        </w:rPr>
        <w:t>4</w:t>
      </w:r>
      <w:r>
        <w:rPr>
          <w:rFonts w:hint="eastAsia" w:ascii="Calibri" w:hAnsi="Calibri" w:eastAsia="仿宋" w:cs="Calibri"/>
          <w:color w:val="333333"/>
          <w:kern w:val="0"/>
          <w:sz w:val="24"/>
          <w:u w:val="single"/>
        </w:rPr>
        <w:t>分。</w:t>
      </w:r>
      <w:r>
        <w:rPr>
          <w:rFonts w:hint="eastAsia" w:ascii="Calibri" w:hAnsi="Calibri" w:eastAsia="仿宋" w:cs="Calibri"/>
          <w:color w:val="333333"/>
          <w:kern w:val="0"/>
          <w:sz w:val="24"/>
          <w:u w:val="single"/>
        </w:rPr>
        <w:t>党团员身份年度评议不合格者</w:t>
      </w:r>
      <w:r>
        <w:rPr>
          <w:rFonts w:hint="eastAsia" w:ascii="Calibri" w:hAnsi="Calibri" w:eastAsia="仿宋" w:cs="Calibri"/>
          <w:color w:val="333333"/>
          <w:kern w:val="0"/>
          <w:sz w:val="24"/>
          <w:u w:val="single"/>
          <w:lang w:val="en-US" w:eastAsia="zh-CN"/>
        </w:rPr>
        <w:t>扣10分</w:t>
      </w:r>
      <w:r>
        <w:rPr>
          <w:rFonts w:hint="eastAsia" w:ascii="Calibri" w:hAnsi="Calibri" w:eastAsia="仿宋" w:cs="Calibri"/>
          <w:color w:val="333333"/>
          <w:kern w:val="0"/>
          <w:sz w:val="24"/>
          <w:u w:val="single"/>
        </w:rPr>
        <w:t>。</w:t>
      </w:r>
      <w:r>
        <w:rPr>
          <w:rFonts w:hint="eastAsia" w:ascii="Calibri" w:hAnsi="Calibri" w:eastAsia="仿宋" w:cs="Calibri"/>
          <w:color w:val="333333"/>
          <w:kern w:val="0"/>
          <w:sz w:val="24"/>
          <w:u w:val="single"/>
        </w:rPr>
        <w:t>若受批评者为集体（例如班级、宿舍等），涉及的个人仍按以上标准扣分。</w:t>
      </w:r>
    </w:p>
    <w:p>
      <w:pPr>
        <w:widowControl/>
        <w:shd w:val="clear" w:color="auto" w:fill="FFFFFF"/>
        <w:spacing w:line="360" w:lineRule="atLeast"/>
        <w:ind w:right="720" w:firstLine="480" w:firstLineChars="200"/>
        <w:jc w:val="left"/>
        <w:rPr>
          <w:rFonts w:ascii="Calibri" w:hAnsi="Calibri" w:eastAsia="仿宋" w:cs="Calibri"/>
          <w:color w:val="333333"/>
          <w:kern w:val="0"/>
          <w:sz w:val="24"/>
          <w:u w:val="single"/>
        </w:rPr>
      </w:pPr>
    </w:p>
    <w:p>
      <w:pPr>
        <w:widowControl/>
        <w:shd w:val="clear" w:color="auto" w:fill="FFFFFF"/>
        <w:spacing w:line="360" w:lineRule="atLeast"/>
        <w:ind w:right="720" w:firstLine="480" w:firstLineChars="200"/>
        <w:jc w:val="left"/>
        <w:rPr>
          <w:rFonts w:hint="default" w:ascii="Calibri" w:hAnsi="Calibri" w:eastAsia="仿宋" w:cs="Calibri"/>
          <w:color w:val="333333"/>
          <w:kern w:val="0"/>
          <w:sz w:val="24"/>
          <w:u w:val="single"/>
          <w:lang w:val="en-US" w:eastAsia="zh-CN"/>
        </w:rPr>
      </w:pPr>
      <w:r>
        <w:rPr>
          <w:rFonts w:ascii="Calibri" w:hAnsi="Calibri" w:eastAsia="仿宋" w:cs="Calibri"/>
          <w:color w:val="333333"/>
          <w:kern w:val="0"/>
          <w:sz w:val="24"/>
          <w:u w:val="single"/>
        </w:rPr>
        <w:t> </w:t>
      </w:r>
      <w:r>
        <w:rPr>
          <w:rFonts w:hint="eastAsia" w:ascii="Calibri" w:hAnsi="Calibri" w:eastAsia="仿宋" w:cs="Calibri"/>
          <w:color w:val="333333"/>
          <w:kern w:val="0"/>
          <w:sz w:val="24"/>
          <w:u w:val="single"/>
        </w:rPr>
        <w:t>【特别说明】已获得“学业奖学金”、“国家奖学金”、企业或实验室或个人设立的奖助学金、荣誉、优秀论文奖，不纳入加分范畴。</w:t>
      </w:r>
      <w:r>
        <w:rPr>
          <w:rFonts w:hint="eastAsia" w:ascii="Calibri" w:hAnsi="Calibri" w:eastAsia="仿宋" w:cs="Calibri"/>
          <w:color w:val="333333"/>
          <w:kern w:val="0"/>
          <w:sz w:val="24"/>
          <w:u w:val="single"/>
        </w:rPr>
        <w:t>同一活动（项目）在当年评优时间内，按最高级别加分。</w:t>
      </w:r>
    </w:p>
    <w:p>
      <w:pPr>
        <w:widowControl/>
        <w:shd w:val="clear" w:color="auto" w:fill="FFFFFF"/>
        <w:spacing w:line="360" w:lineRule="atLeast"/>
        <w:ind w:right="720"/>
        <w:jc w:val="left"/>
        <w:rPr>
          <w:rFonts w:ascii="黑体" w:hAnsi="黑体" w:eastAsia="黑体" w:cs="宋体"/>
          <w:color w:val="333333"/>
          <w:kern w:val="0"/>
          <w:sz w:val="24"/>
        </w:rPr>
      </w:pPr>
    </w:p>
    <w:p>
      <w:pPr>
        <w:widowControl/>
        <w:shd w:val="clear" w:color="auto" w:fill="FFFFFF"/>
        <w:spacing w:line="360" w:lineRule="atLeast"/>
        <w:ind w:right="720"/>
        <w:jc w:val="left"/>
        <w:rPr>
          <w:rFonts w:hint="eastAsia" w:ascii="黑体" w:hAnsi="黑体" w:eastAsia="黑体" w:cs="宋体"/>
          <w:color w:val="333333"/>
          <w:kern w:val="0"/>
          <w:sz w:val="24"/>
        </w:rPr>
      </w:pPr>
    </w:p>
    <w:p>
      <w:pPr>
        <w:widowControl/>
        <w:shd w:val="clear" w:color="auto" w:fill="FFFFFF"/>
        <w:spacing w:line="360" w:lineRule="atLeast"/>
        <w:ind w:right="720"/>
        <w:jc w:val="left"/>
        <w:rPr>
          <w:rFonts w:ascii="宋体" w:hAnsi="宋体" w:cs="宋体"/>
          <w:kern w:val="0"/>
          <w:sz w:val="24"/>
        </w:rPr>
      </w:pPr>
      <w:r>
        <w:rPr>
          <w:rFonts w:hint="eastAsia" w:ascii="黑体" w:hAnsi="黑体" w:eastAsia="黑体" w:cs="宋体"/>
          <w:color w:val="333333"/>
          <w:kern w:val="0"/>
          <w:sz w:val="24"/>
        </w:rPr>
        <w:t>六、评审组织与程序</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（一）成立学院研究生奖学金评审委员会</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每年7月，成立由学院党委书记任主任，学院党政领导、各系主任、研究生辅导员、研究生教务员、导师代表、学生代表等为委员的研究生学业奖学金评审委员会，负责组织我院研究生学业奖学金的统筹领导、协调、监督、审核及异议处理等工作。</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（二）成立学院奖学金评比工作小组</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每年7月，成立学院奖学金评比工作小组，由辅导员、研究生会相关学生干部和年级学生代表组成，小组人数一般为7-9人，评比工作小组的主要职责为：向各班级传达学院通知和要求，汇总、复核和公示各班级的奖学金评比材料；收集评比过程中出现的各种异议问题并及时讨论反馈；主动解释学生交流平台上遇到的各种问题。</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（三）成立班级奖学金评比工作小组</w:t>
      </w:r>
    </w:p>
    <w:p>
      <w:pPr>
        <w:widowControl/>
        <w:shd w:val="clear" w:color="auto" w:fill="FFFFFF"/>
        <w:spacing w:line="360" w:lineRule="atLeast"/>
        <w:ind w:right="720" w:firstLine="480" w:firstLineChars="200"/>
        <w:jc w:val="left"/>
        <w:rPr>
          <w:rFonts w:ascii="Calibri" w:hAnsi="Calibri" w:eastAsia="仿宋" w:cs="Calibri"/>
          <w:color w:val="333333"/>
          <w:kern w:val="0"/>
          <w:sz w:val="24"/>
          <w:highlight w:val="none"/>
        </w:rPr>
      </w:pPr>
      <w:r>
        <w:rPr>
          <w:rFonts w:hint="eastAsia" w:ascii="Calibri" w:hAnsi="Calibri" w:eastAsia="仿宋" w:cs="Calibri"/>
          <w:color w:val="333333"/>
          <w:kern w:val="0"/>
          <w:sz w:val="24"/>
        </w:rPr>
        <w:t>每年9月初，各班级成立由班主任、班长、团支书和学生代表组成的的班级奖学金评比工作小组，小组人数一般由5-7人组成，具体成员由班级讨论推荐产生并上报学院。班级奖学金评比工作小组的主要职责为：传达学院通知和要求，汇总、复核和公示本班学生的奖学金评比材料；收集评比过程中出现的各种异议问题并向年级奖学金评比工作小组反映；确保各类上报材料的签字确认。</w:t>
      </w:r>
      <w:r>
        <w:rPr>
          <w:rFonts w:hint="eastAsia" w:ascii="Calibri" w:hAnsi="Calibri" w:eastAsia="仿宋" w:cs="Calibri"/>
          <w:color w:val="333333"/>
          <w:kern w:val="0"/>
          <w:sz w:val="24"/>
          <w:highlight w:val="none"/>
        </w:rPr>
        <w:t>奖学金评审小组会根据实际情况记录志愿时长。</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（四）学生申请</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研究生在规定时间向学院提出申请，并按相应的要求提交申请表及成果材料。未按时提交申请的，视为自动放弃申请学业奖学金。未在学院规定的截止时间前提交加分项证明材料的，视为放弃该加分项加分。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申请者所获的学术成果（科技项目、论文、专利、奖励等）、成绩单、荣誉证书等必须附上原件（审核后现场返回）及复印件（论文附上期刊首页、目录及论文首页；科技项目提供带水印或加盖公章的项目参与者页）。研究生老生的“科学研究”和“思想道德与社会实践”的所有加分项目，均要求在上一年9月1日至本年8月31日之间发生。参评使用过的材料均不能重复使用。</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（五）班级审核材料</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1.班级审核材料及公示</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各班级奖学金评比工作小组对本班学生提交的申请材料进行审核，经审核后，将每位学生的综合加分明细和所有加分证明材料在班级适当范围内公示3天。</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2.班级上交材料</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各班级公示无异议后，于规定时间前将相关材料提交至学院。</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（七）确定奖学金获奖名单</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学院奖学金评比工作小组对各班级上交的材料进行复核，并结合扣分情况，初步确定排序和获奖等次，经学院公示无异议后推荐上报学校。</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eastAsia="zh-CN"/>
        </w:rPr>
      </w:pPr>
      <w:r>
        <w:rPr>
          <w:rFonts w:hint="eastAsia" w:ascii="Calibri" w:hAnsi="Calibri" w:eastAsia="仿宋" w:cs="Calibri"/>
          <w:color w:val="333333"/>
          <w:kern w:val="0"/>
          <w:sz w:val="24"/>
        </w:rPr>
        <w:t>特别说明：为促进评比工作更加公平、公正、公开，学院奖学金评比工作小组全体成员的申请材料，经班级审核上报后，将由学院安排专门工作组（由老师与学生代表组成）对全部申请材料进行严格复核并进行单独公示。</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eastAsia="zh-CN"/>
        </w:rPr>
      </w:pPr>
    </w:p>
    <w:p>
      <w:pPr>
        <w:widowControl/>
        <w:shd w:val="clear" w:color="auto" w:fill="FFFFFF"/>
        <w:spacing w:line="360" w:lineRule="atLeast"/>
        <w:ind w:right="720"/>
        <w:jc w:val="left"/>
        <w:rPr>
          <w:rFonts w:hint="eastAsia" w:ascii="Calibri" w:hAnsi="Calibri" w:eastAsia="仿宋" w:cs="Calibri"/>
          <w:color w:val="333333"/>
          <w:kern w:val="0"/>
          <w:sz w:val="24"/>
          <w:lang w:eastAsia="zh-CN"/>
        </w:rPr>
      </w:pPr>
    </w:p>
    <w:p>
      <w:pPr>
        <w:widowControl/>
        <w:shd w:val="clear" w:color="auto" w:fill="FFFFFF"/>
        <w:spacing w:line="360" w:lineRule="atLeast"/>
        <w:ind w:right="720"/>
        <w:jc w:val="left"/>
        <w:rPr>
          <w:rFonts w:ascii="宋体" w:hAnsi="宋体" w:cs="宋体"/>
          <w:kern w:val="0"/>
          <w:sz w:val="24"/>
        </w:rPr>
      </w:pPr>
      <w:r>
        <w:rPr>
          <w:rFonts w:hint="eastAsia" w:ascii="黑体" w:hAnsi="黑体" w:eastAsia="黑体" w:cs="宋体"/>
          <w:color w:val="333333"/>
          <w:kern w:val="0"/>
          <w:sz w:val="24"/>
        </w:rPr>
        <w:t>七、纪律要求</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1.奖学金申请者的纪律要求</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研究生所提交的申请材料必须真实，如提交的材料明显是在评奖年度要求的时间范围之外，经学院奖学金评比工作小组裁定属实的，将在本次奖学金评比中扣2分/项；如出现弄虚作假或其它违反校规校纪的行为，经学院奖学金评比工作小组裁定属实的，将立即取消违反者已获得的荣誉证书、奖学金及其以后在读期间的一切评优资格，并根据《华南农业大学研究生违纪处分实施办法》（华南农办〔2010〕83号）的规定给予严肃处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2.学院和班级评比工作小组成员的纪律要求</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学院和班级评比工作小组成员务必认真、客观、公正开展评比工作，按时按进度完成各项工作任务，严格遵守评比工作纪律。对出现工作不负责或违反纪律要求者，经学院研究生奖学金评审委员会查证属实的，将给予通报批评以上（含通报批评）处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jc w:val="left"/>
        <w:rPr>
          <w:rFonts w:ascii="宋体" w:hAnsi="宋体" w:cs="宋体"/>
          <w:kern w:val="0"/>
          <w:sz w:val="24"/>
        </w:rPr>
      </w:pPr>
      <w:r>
        <w:rPr>
          <w:rFonts w:hint="eastAsia" w:ascii="黑体" w:hAnsi="黑体" w:eastAsia="黑体" w:cs="宋体"/>
          <w:color w:val="333333"/>
          <w:kern w:val="0"/>
          <w:sz w:val="24"/>
        </w:rPr>
        <w:t>八、其他说明</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1.已确认获得国家奖学金的研究生（含新生和老生），当年度的学业奖学金等次自动列为二等奖（推免入读的硕士生新生除外）。</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2.为探索更加科学的奖学金评比思路，各学科、各实验室认为有必要单独设立奖学金评选办法的，经学科或实验室提出，学院研究生奖学金评审委员会认为条件成熟并讨论同意的，可试点实施。</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3.本细则未规定的加分事项，或有争议事项，由研究生奖学金评审委员会研究审定。</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r>
        <w:rPr>
          <w:rFonts w:hint="eastAsia" w:ascii="Calibri" w:hAnsi="Calibri" w:eastAsia="仿宋" w:cs="Calibri"/>
          <w:color w:val="333333"/>
          <w:kern w:val="0"/>
          <w:sz w:val="24"/>
        </w:rPr>
        <w:t>4.每学年的综合测评分排名和相关分值将作为其他各类奖助学金的评比依据。</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r>
        <w:rPr>
          <w:rFonts w:hint="eastAsia" w:ascii="Calibri" w:hAnsi="Calibri" w:eastAsia="仿宋" w:cs="Calibri"/>
          <w:color w:val="333333"/>
          <w:kern w:val="0"/>
          <w:sz w:val="24"/>
          <w:lang w:val="en-US" w:eastAsia="zh-CN"/>
        </w:rPr>
        <w:t>5.本办法由植物保护学院党委负责解释。</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r>
        <w:rPr>
          <w:rFonts w:hint="eastAsia" w:ascii="Calibri" w:hAnsi="Calibri" w:eastAsia="仿宋" w:cs="Calibri"/>
          <w:color w:val="333333"/>
          <w:kern w:val="0"/>
          <w:sz w:val="24"/>
          <w:lang w:val="en-US" w:eastAsia="zh-CN"/>
        </w:rPr>
        <w:t>6.本办法从2022-2023学年开始实施。</w:t>
      </w:r>
      <w:bookmarkStart w:id="0" w:name="_GoBack"/>
      <w:bookmarkEnd w:id="0"/>
    </w:p>
    <w:p>
      <w:pPr>
        <w:widowControl/>
        <w:shd w:val="clear" w:color="auto" w:fill="FFFFFF"/>
        <w:spacing w:line="360" w:lineRule="atLeast"/>
        <w:ind w:right="720"/>
        <w:jc w:val="both"/>
        <w:rPr>
          <w:rFonts w:ascii="黑体" w:hAnsi="黑体" w:eastAsia="黑体" w:cs="宋体"/>
          <w:color w:val="333333"/>
          <w:kern w:val="0"/>
          <w:sz w:val="24"/>
        </w:rPr>
      </w:pPr>
    </w:p>
    <w:p>
      <w:pPr>
        <w:widowControl/>
        <w:shd w:val="clear" w:color="auto" w:fill="FFFFFF"/>
        <w:spacing w:line="360" w:lineRule="atLeast"/>
        <w:ind w:right="720"/>
        <w:jc w:val="right"/>
        <w:rPr>
          <w:rFonts w:ascii="黑体" w:hAnsi="黑体" w:eastAsia="黑体" w:cs="宋体"/>
          <w:color w:val="333333"/>
          <w:kern w:val="0"/>
          <w:sz w:val="24"/>
        </w:rPr>
      </w:pPr>
      <w:r>
        <w:rPr>
          <w:rFonts w:hint="eastAsia" w:ascii="黑体" w:hAnsi="黑体" w:eastAsia="黑体" w:cs="宋体"/>
          <w:color w:val="333333"/>
          <w:kern w:val="0"/>
          <w:sz w:val="24"/>
        </w:rPr>
        <w:t>华南农业大学植物保护学院</w:t>
      </w:r>
    </w:p>
    <w:p>
      <w:pPr>
        <w:widowControl/>
        <w:shd w:val="clear" w:color="auto" w:fill="FFFFFF"/>
        <w:spacing w:line="360" w:lineRule="atLeast"/>
        <w:ind w:right="720"/>
        <w:jc w:val="right"/>
        <w:rPr>
          <w:rFonts w:ascii="宋体" w:hAnsi="宋体" w:cs="宋体"/>
          <w:b/>
          <w:bCs/>
          <w:color w:val="000000" w:themeColor="text1"/>
          <w:kern w:val="0"/>
          <w:sz w:val="24"/>
          <w14:textFill>
            <w14:solidFill>
              <w14:schemeClr w14:val="tx1"/>
            </w14:solidFill>
          </w14:textFill>
        </w:rPr>
      </w:pPr>
      <w:r>
        <w:rPr>
          <w:rFonts w:hint="eastAsia" w:ascii="黑体" w:hAnsi="黑体" w:eastAsia="黑体" w:cs="宋体"/>
          <w:b/>
          <w:bCs/>
          <w:color w:val="000000" w:themeColor="text1"/>
          <w:kern w:val="0"/>
          <w:sz w:val="24"/>
          <w14:textFill>
            <w14:solidFill>
              <w14:schemeClr w14:val="tx1"/>
            </w14:solidFill>
          </w14:textFill>
        </w:rPr>
        <w:t>2</w:t>
      </w:r>
      <w:r>
        <w:rPr>
          <w:rFonts w:ascii="黑体" w:hAnsi="黑体" w:eastAsia="黑体" w:cs="宋体"/>
          <w:b/>
          <w:bCs/>
          <w:color w:val="000000" w:themeColor="text1"/>
          <w:kern w:val="0"/>
          <w:sz w:val="24"/>
          <w14:textFill>
            <w14:solidFill>
              <w14:schemeClr w14:val="tx1"/>
            </w14:solidFill>
          </w14:textFill>
        </w:rPr>
        <w:t>02</w:t>
      </w:r>
      <w:r>
        <w:rPr>
          <w:rFonts w:hint="eastAsia" w:ascii="黑体" w:hAnsi="黑体" w:eastAsia="黑体" w:cs="宋体"/>
          <w:b/>
          <w:bCs/>
          <w:color w:val="000000" w:themeColor="text1"/>
          <w:kern w:val="0"/>
          <w:sz w:val="24"/>
          <w:lang w:val="en-US" w:eastAsia="zh-CN"/>
          <w14:textFill>
            <w14:solidFill>
              <w14:schemeClr w14:val="tx1"/>
            </w14:solidFill>
          </w14:textFill>
        </w:rPr>
        <w:t>4</w:t>
      </w:r>
      <w:r>
        <w:rPr>
          <w:rFonts w:hint="eastAsia" w:ascii="黑体" w:hAnsi="黑体" w:eastAsia="黑体" w:cs="宋体"/>
          <w:b/>
          <w:bCs/>
          <w:color w:val="000000" w:themeColor="text1"/>
          <w:kern w:val="0"/>
          <w:sz w:val="24"/>
          <w14:textFill>
            <w14:solidFill>
              <w14:schemeClr w14:val="tx1"/>
            </w14:solidFill>
          </w14:textFill>
        </w:rPr>
        <w:t>年</w:t>
      </w:r>
      <w:r>
        <w:rPr>
          <w:rFonts w:hint="eastAsia" w:ascii="黑体" w:hAnsi="黑体" w:eastAsia="黑体" w:cs="宋体"/>
          <w:b/>
          <w:bCs/>
          <w:color w:val="000000" w:themeColor="text1"/>
          <w:kern w:val="0"/>
          <w:sz w:val="24"/>
          <w:lang w:val="en-US" w:eastAsia="zh-CN"/>
          <w14:textFill>
            <w14:solidFill>
              <w14:schemeClr w14:val="tx1"/>
            </w14:solidFill>
          </w14:textFill>
        </w:rPr>
        <w:t>3</w:t>
      </w:r>
      <w:r>
        <w:rPr>
          <w:rFonts w:hint="eastAsia" w:ascii="黑体" w:hAnsi="黑体" w:eastAsia="黑体" w:cs="宋体"/>
          <w:b/>
          <w:bCs/>
          <w:color w:val="000000" w:themeColor="text1"/>
          <w:kern w:val="0"/>
          <w:sz w:val="24"/>
          <w14:textFill>
            <w14:solidFill>
              <w14:schemeClr w14:val="tx1"/>
            </w14:solidFill>
          </w14:textFill>
        </w:rPr>
        <w:t>月</w:t>
      </w: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946744"/>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5ZTI3OGQ3ZGU1MDNhMGRjNTIwMmY0ZDVhNWM4MzUifQ=="/>
  </w:docVars>
  <w:rsids>
    <w:rsidRoot w:val="0046197E"/>
    <w:rsid w:val="00004A37"/>
    <w:rsid w:val="00053495"/>
    <w:rsid w:val="0007109D"/>
    <w:rsid w:val="00074BCB"/>
    <w:rsid w:val="00106030"/>
    <w:rsid w:val="00110620"/>
    <w:rsid w:val="00145CBB"/>
    <w:rsid w:val="00217BCD"/>
    <w:rsid w:val="002312FE"/>
    <w:rsid w:val="002404FA"/>
    <w:rsid w:val="0024688C"/>
    <w:rsid w:val="002723F5"/>
    <w:rsid w:val="00277B7A"/>
    <w:rsid w:val="00283A0F"/>
    <w:rsid w:val="002D0527"/>
    <w:rsid w:val="002D35D8"/>
    <w:rsid w:val="0030411B"/>
    <w:rsid w:val="00314AE1"/>
    <w:rsid w:val="003312F1"/>
    <w:rsid w:val="00346E15"/>
    <w:rsid w:val="003672B4"/>
    <w:rsid w:val="00367DBE"/>
    <w:rsid w:val="003C46B0"/>
    <w:rsid w:val="003C726E"/>
    <w:rsid w:val="003F6BD9"/>
    <w:rsid w:val="0041192D"/>
    <w:rsid w:val="00441A91"/>
    <w:rsid w:val="004463D7"/>
    <w:rsid w:val="0044703D"/>
    <w:rsid w:val="0046197E"/>
    <w:rsid w:val="00465AD0"/>
    <w:rsid w:val="004D6E0A"/>
    <w:rsid w:val="00525DAC"/>
    <w:rsid w:val="00544F6B"/>
    <w:rsid w:val="006344F3"/>
    <w:rsid w:val="006531B5"/>
    <w:rsid w:val="006B1A7B"/>
    <w:rsid w:val="006C534B"/>
    <w:rsid w:val="006D587E"/>
    <w:rsid w:val="007060E7"/>
    <w:rsid w:val="007A2972"/>
    <w:rsid w:val="007E49BC"/>
    <w:rsid w:val="007E53E7"/>
    <w:rsid w:val="00825A29"/>
    <w:rsid w:val="008462A0"/>
    <w:rsid w:val="00863808"/>
    <w:rsid w:val="00863A74"/>
    <w:rsid w:val="0087591C"/>
    <w:rsid w:val="00885FAA"/>
    <w:rsid w:val="008E0B3A"/>
    <w:rsid w:val="00912B74"/>
    <w:rsid w:val="009537CC"/>
    <w:rsid w:val="00970983"/>
    <w:rsid w:val="00990B3A"/>
    <w:rsid w:val="00996C82"/>
    <w:rsid w:val="009D1815"/>
    <w:rsid w:val="00A826C7"/>
    <w:rsid w:val="00A953D4"/>
    <w:rsid w:val="00AA3D02"/>
    <w:rsid w:val="00AC7B5B"/>
    <w:rsid w:val="00AD5F2C"/>
    <w:rsid w:val="00B337B0"/>
    <w:rsid w:val="00B6205E"/>
    <w:rsid w:val="00BA11F8"/>
    <w:rsid w:val="00BB1D17"/>
    <w:rsid w:val="00BB6CBD"/>
    <w:rsid w:val="00C506CB"/>
    <w:rsid w:val="00C63C17"/>
    <w:rsid w:val="00C74DA7"/>
    <w:rsid w:val="00C948D4"/>
    <w:rsid w:val="00CF55C1"/>
    <w:rsid w:val="00D037F6"/>
    <w:rsid w:val="00D27415"/>
    <w:rsid w:val="00DD1744"/>
    <w:rsid w:val="00DD7A47"/>
    <w:rsid w:val="00E2383B"/>
    <w:rsid w:val="00E32A6C"/>
    <w:rsid w:val="00E475FE"/>
    <w:rsid w:val="00E6349B"/>
    <w:rsid w:val="00E63669"/>
    <w:rsid w:val="00E663D6"/>
    <w:rsid w:val="00E67EE4"/>
    <w:rsid w:val="00E7173F"/>
    <w:rsid w:val="00E92817"/>
    <w:rsid w:val="00E92927"/>
    <w:rsid w:val="00ED5A35"/>
    <w:rsid w:val="00EE5413"/>
    <w:rsid w:val="00EE5B7E"/>
    <w:rsid w:val="00F45FB7"/>
    <w:rsid w:val="00F46BF9"/>
    <w:rsid w:val="00F479ED"/>
    <w:rsid w:val="00FA306F"/>
    <w:rsid w:val="00FB2C11"/>
    <w:rsid w:val="00FB47F9"/>
    <w:rsid w:val="00FF1AFF"/>
    <w:rsid w:val="05D65A75"/>
    <w:rsid w:val="078D1C71"/>
    <w:rsid w:val="0900602A"/>
    <w:rsid w:val="093478C1"/>
    <w:rsid w:val="0A8F14B1"/>
    <w:rsid w:val="0B7B3E7E"/>
    <w:rsid w:val="0CCD68C2"/>
    <w:rsid w:val="0FA14F67"/>
    <w:rsid w:val="12846612"/>
    <w:rsid w:val="129D0E16"/>
    <w:rsid w:val="12D70244"/>
    <w:rsid w:val="15D75342"/>
    <w:rsid w:val="1BC95EB9"/>
    <w:rsid w:val="1EC61B05"/>
    <w:rsid w:val="1F6A25C9"/>
    <w:rsid w:val="1F6E3CDF"/>
    <w:rsid w:val="22F774F6"/>
    <w:rsid w:val="23437886"/>
    <w:rsid w:val="26236571"/>
    <w:rsid w:val="26625320"/>
    <w:rsid w:val="2BBB0CD9"/>
    <w:rsid w:val="2C6B70E0"/>
    <w:rsid w:val="310E721E"/>
    <w:rsid w:val="32C85C80"/>
    <w:rsid w:val="39A1680E"/>
    <w:rsid w:val="3AF52D1F"/>
    <w:rsid w:val="408D415C"/>
    <w:rsid w:val="423A2194"/>
    <w:rsid w:val="42472C2B"/>
    <w:rsid w:val="449556E6"/>
    <w:rsid w:val="456B710A"/>
    <w:rsid w:val="47245D36"/>
    <w:rsid w:val="4AC40AAF"/>
    <w:rsid w:val="4B2D4468"/>
    <w:rsid w:val="4D844549"/>
    <w:rsid w:val="4DD47D77"/>
    <w:rsid w:val="52F474CB"/>
    <w:rsid w:val="57637240"/>
    <w:rsid w:val="5792631E"/>
    <w:rsid w:val="5A3D61AC"/>
    <w:rsid w:val="5A8A7BB0"/>
    <w:rsid w:val="5BA82F01"/>
    <w:rsid w:val="5C1F3608"/>
    <w:rsid w:val="5C272C70"/>
    <w:rsid w:val="5D8E7495"/>
    <w:rsid w:val="5E7F1C1B"/>
    <w:rsid w:val="5F2B2A77"/>
    <w:rsid w:val="5F772160"/>
    <w:rsid w:val="62DA4EE0"/>
    <w:rsid w:val="64991719"/>
    <w:rsid w:val="65913AC8"/>
    <w:rsid w:val="65E83775"/>
    <w:rsid w:val="67B12204"/>
    <w:rsid w:val="6801704D"/>
    <w:rsid w:val="687C07E7"/>
    <w:rsid w:val="6B5F27B0"/>
    <w:rsid w:val="6CC725B9"/>
    <w:rsid w:val="6D791ED1"/>
    <w:rsid w:val="6E9326CE"/>
    <w:rsid w:val="6EBF31DC"/>
    <w:rsid w:val="6F6F1C62"/>
    <w:rsid w:val="701C7B11"/>
    <w:rsid w:val="70403355"/>
    <w:rsid w:val="716B7E29"/>
    <w:rsid w:val="71A934D7"/>
    <w:rsid w:val="724F2AC9"/>
    <w:rsid w:val="74253AE1"/>
    <w:rsid w:val="74FC4170"/>
    <w:rsid w:val="78F54B8E"/>
    <w:rsid w:val="7B1D270B"/>
    <w:rsid w:val="7C3A0345"/>
    <w:rsid w:val="7D8D1EDD"/>
    <w:rsid w:val="7F641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7"/>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8"/>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8"/>
    <w:semiHidden/>
    <w:unhideWhenUsed/>
    <w:qFormat/>
    <w:uiPriority w:val="0"/>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Balloon Text"/>
    <w:basedOn w:val="1"/>
    <w:link w:val="36"/>
    <w:qFormat/>
    <w:uiPriority w:val="0"/>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39"/>
    <w:semiHidden/>
    <w:unhideWhenUsed/>
    <w:qFormat/>
    <w:uiPriority w:val="0"/>
    <w:rPr>
      <w:b/>
      <w:bCs/>
    </w:r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qFormat/>
    <w:uiPriority w:val="0"/>
    <w:rPr>
      <w:sz w:val="21"/>
      <w:szCs w:val="21"/>
    </w:rPr>
  </w:style>
  <w:style w:type="character" w:customStyle="1" w:styleId="17">
    <w:name w:val="标题 1 字符"/>
    <w:basedOn w:val="14"/>
    <w:link w:val="2"/>
    <w:qFormat/>
    <w:uiPriority w:val="9"/>
    <w:rPr>
      <w:rFonts w:eastAsia="Microsoft YaHei UI" w:asciiTheme="majorHAnsi" w:hAnsiTheme="majorHAnsi" w:cstheme="majorBidi"/>
      <w:color w:val="4F81BD" w:themeColor="accent1"/>
      <w:sz w:val="36"/>
      <w:szCs w:val="36"/>
      <w:lang w:eastAsia="ja-JP"/>
      <w14:textFill>
        <w14:solidFill>
          <w14:schemeClr w14:val="accent1"/>
        </w14:solidFill>
      </w14:textFill>
    </w:rPr>
  </w:style>
  <w:style w:type="character" w:customStyle="1" w:styleId="18">
    <w:name w:val="标题 2 字符"/>
    <w:basedOn w:val="14"/>
    <w:link w:val="3"/>
    <w:qFormat/>
    <w:uiPriority w:val="9"/>
    <w:rPr>
      <w:rFonts w:eastAsia="Microsoft YaHei UI" w:asciiTheme="minorHAnsi" w:hAnsiTheme="minorHAnsi" w:cstheme="minorBidi"/>
      <w:b/>
      <w:bCs/>
      <w:color w:val="1F497D" w:themeColor="text2"/>
      <w:sz w:val="26"/>
      <w:szCs w:val="26"/>
      <w:lang w:eastAsia="ja-JP"/>
      <w14:textFill>
        <w14:solidFill>
          <w14:schemeClr w14:val="tx2"/>
        </w14:solidFill>
      </w14:textFill>
    </w:rPr>
  </w:style>
  <w:style w:type="character" w:customStyle="1" w:styleId="19">
    <w:name w:val="页眉 字符"/>
    <w:basedOn w:val="14"/>
    <w:link w:val="8"/>
    <w:qFormat/>
    <w:uiPriority w:val="0"/>
    <w:rPr>
      <w:kern w:val="2"/>
      <w:sz w:val="18"/>
      <w:szCs w:val="18"/>
    </w:rPr>
  </w:style>
  <w:style w:type="character" w:customStyle="1" w:styleId="20">
    <w:name w:val="页脚 字符"/>
    <w:basedOn w:val="14"/>
    <w:link w:val="7"/>
    <w:qFormat/>
    <w:uiPriority w:val="99"/>
    <w:rPr>
      <w:kern w:val="2"/>
      <w:sz w:val="18"/>
      <w:szCs w:val="18"/>
    </w:rPr>
  </w:style>
  <w:style w:type="paragraph" w:customStyle="1" w:styleId="21">
    <w:name w:val="z-窗体顶端1"/>
    <w:basedOn w:val="1"/>
    <w:next w:val="1"/>
    <w:link w:val="22"/>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22">
    <w:name w:val="z-窗体顶端 Char"/>
    <w:basedOn w:val="14"/>
    <w:link w:val="21"/>
    <w:semiHidden/>
    <w:qFormat/>
    <w:uiPriority w:val="99"/>
    <w:rPr>
      <w:rFonts w:ascii="Arial" w:hAnsi="Arial" w:cs="Arial"/>
      <w:vanish/>
      <w:sz w:val="16"/>
      <w:szCs w:val="16"/>
    </w:rPr>
  </w:style>
  <w:style w:type="paragraph" w:customStyle="1" w:styleId="23">
    <w:name w:val="z-窗体底端1"/>
    <w:basedOn w:val="1"/>
    <w:next w:val="1"/>
    <w:link w:val="24"/>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24">
    <w:name w:val="z-窗体底端 Char"/>
    <w:basedOn w:val="14"/>
    <w:link w:val="23"/>
    <w:semiHidden/>
    <w:qFormat/>
    <w:uiPriority w:val="99"/>
    <w:rPr>
      <w:rFonts w:ascii="Arial" w:hAnsi="Arial" w:cs="Arial"/>
      <w:vanish/>
      <w:sz w:val="16"/>
      <w:szCs w:val="16"/>
    </w:rPr>
  </w:style>
  <w:style w:type="paragraph" w:customStyle="1" w:styleId="25">
    <w:name w:val="menu-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arti-metas"/>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arti-update"/>
    <w:basedOn w:val="14"/>
    <w:qFormat/>
    <w:uiPriority w:val="0"/>
  </w:style>
  <w:style w:type="character" w:customStyle="1" w:styleId="28">
    <w:name w:val="arti-views"/>
    <w:basedOn w:val="14"/>
    <w:qFormat/>
    <w:uiPriority w:val="0"/>
  </w:style>
  <w:style w:type="character" w:customStyle="1" w:styleId="29">
    <w:name w:val="wp_visitcount"/>
    <w:basedOn w:val="14"/>
    <w:qFormat/>
    <w:uiPriority w:val="0"/>
  </w:style>
  <w:style w:type="paragraph" w:customStyle="1" w:styleId="30">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15"/>
    <w:basedOn w:val="14"/>
    <w:qFormat/>
    <w:uiPriority w:val="0"/>
  </w:style>
  <w:style w:type="paragraph" w:customStyle="1" w:styleId="32">
    <w:name w:val="nav-item"/>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item-name"/>
    <w:basedOn w:val="14"/>
    <w:qFormat/>
    <w:uiPriority w:val="0"/>
  </w:style>
  <w:style w:type="paragraph" w:customStyle="1" w:styleId="34">
    <w:name w:val="TOC 标题1"/>
    <w:basedOn w:val="2"/>
    <w:next w:val="1"/>
    <w:autoRedefine/>
    <w:unhideWhenUsed/>
    <w:qFormat/>
    <w:uiPriority w:val="39"/>
    <w:pPr>
      <w:pBdr>
        <w:bottom w:val="none" w:color="auto" w:sz="0" w:space="0"/>
      </w:pBdr>
      <w:spacing w:before="240" w:after="0" w:line="259" w:lineRule="auto"/>
      <w:outlineLvl w:val="9"/>
    </w:pPr>
    <w:rPr>
      <w:rFonts w:eastAsiaTheme="majorEastAsia"/>
      <w:color w:val="376092" w:themeColor="accent1" w:themeShade="BF"/>
      <w:sz w:val="32"/>
      <w:szCs w:val="32"/>
      <w:lang w:eastAsia="zh-CN"/>
    </w:rPr>
  </w:style>
  <w:style w:type="paragraph" w:styleId="35">
    <w:name w:val="List Paragraph"/>
    <w:basedOn w:val="1"/>
    <w:qFormat/>
    <w:uiPriority w:val="34"/>
    <w:pPr>
      <w:ind w:firstLine="420" w:firstLineChars="200"/>
    </w:pPr>
  </w:style>
  <w:style w:type="character" w:customStyle="1" w:styleId="36">
    <w:name w:val="批注框文本 字符"/>
    <w:basedOn w:val="14"/>
    <w:link w:val="6"/>
    <w:qFormat/>
    <w:uiPriority w:val="0"/>
    <w:rPr>
      <w:kern w:val="2"/>
      <w:sz w:val="18"/>
      <w:szCs w:val="18"/>
    </w:rPr>
  </w:style>
  <w:style w:type="paragraph" w:customStyle="1" w:styleId="3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8">
    <w:name w:val="批注文字 字符"/>
    <w:basedOn w:val="14"/>
    <w:link w:val="4"/>
    <w:semiHidden/>
    <w:qFormat/>
    <w:uiPriority w:val="0"/>
    <w:rPr>
      <w:kern w:val="2"/>
      <w:sz w:val="21"/>
      <w:szCs w:val="24"/>
    </w:rPr>
  </w:style>
  <w:style w:type="character" w:customStyle="1" w:styleId="39">
    <w:name w:val="批注主题 字符"/>
    <w:basedOn w:val="38"/>
    <w:link w:val="12"/>
    <w:semiHidden/>
    <w:qFormat/>
    <w:uiPriority w:val="0"/>
    <w:rPr>
      <w:b/>
      <w:bCs/>
      <w:kern w:val="2"/>
      <w:sz w:val="21"/>
      <w:szCs w:val="24"/>
    </w:rPr>
  </w:style>
  <w:style w:type="character" w:customStyle="1" w:styleId="40">
    <w:name w:val="font11"/>
    <w:basedOn w:val="1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EF4A6-5A16-4E57-8019-A3A10C722B8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11425</Words>
  <Characters>11925</Characters>
  <Lines>88</Lines>
  <Paragraphs>24</Paragraphs>
  <TotalTime>28</TotalTime>
  <ScaleCrop>false</ScaleCrop>
  <LinksUpToDate>false</LinksUpToDate>
  <CharactersWithSpaces>12169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2022-12-05T10:03:00Z</dcterms:created>
  <dc:creator>正钦</dc:creator>
  <cp:lastModifiedBy>Ann</cp:lastModifiedBy>
  <cp:lastPrinted>2024-03-13T09:55:00Z</cp:lastPrinted>
  <dcterms:modified xsi:type="dcterms:W3CDTF">2024-03-15T09:58:47Z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8AD77EF2539F41DFA05921AAC9CF5F6A_13</vt:lpwstr>
  </property>
</Properties>
</file>